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43CD" w:rsidRDefault="000C1B9D">
      <w:pPr>
        <w:jc w:val="center"/>
      </w:pPr>
      <w:bookmarkStart w:id="0" w:name="_gjdgxs" w:colFirst="0" w:colLast="0"/>
      <w:bookmarkEnd w:id="0"/>
      <w:r>
        <w:rPr>
          <w:b/>
          <w:sz w:val="28"/>
          <w:szCs w:val="28"/>
        </w:rPr>
        <w:t>JURISDICTION SUBGROUP ICANN LITIGATION SUMMARY</w:t>
      </w:r>
    </w:p>
    <w:p w:rsidR="00BB43CD" w:rsidRDefault="00BB43CD"/>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BB43CD">
        <w:tc>
          <w:tcPr>
            <w:tcW w:w="3798" w:type="dxa"/>
          </w:tcPr>
          <w:p w:rsidR="00BB43CD" w:rsidRDefault="000C1B9D">
            <w:pPr>
              <w:contextualSpacing w:val="0"/>
            </w:pPr>
            <w:r>
              <w:rPr>
                <w:sz w:val="24"/>
                <w:szCs w:val="24"/>
              </w:rPr>
              <w:t>Name of Case:</w:t>
            </w:r>
          </w:p>
        </w:tc>
        <w:tc>
          <w:tcPr>
            <w:tcW w:w="9378" w:type="dxa"/>
          </w:tcPr>
          <w:p w:rsidR="00BB43CD" w:rsidRDefault="00C70713">
            <w:pPr>
              <w:contextualSpacing w:val="0"/>
            </w:pPr>
            <w:r w:rsidRPr="00C70713">
              <w:t xml:space="preserve">Ben </w:t>
            </w:r>
            <w:proofErr w:type="spellStart"/>
            <w:r w:rsidRPr="00C70713">
              <w:t>Haim</w:t>
            </w:r>
            <w:proofErr w:type="spellEnd"/>
            <w:r w:rsidRPr="00C70713">
              <w:t xml:space="preserve"> v. Islamic Republic of Iran; Calderon-Cardona v. Democratic People's Republic of Korea; Rubin v. Islamic Republic of Iran; Stern v. Islamic Republic of Iran; Weinstein v. Islamic Republic of Iran; Wyatt v. Syrian Arab Republic</w:t>
            </w:r>
          </w:p>
        </w:tc>
      </w:tr>
      <w:tr w:rsidR="00BB43CD">
        <w:tc>
          <w:tcPr>
            <w:tcW w:w="3798" w:type="dxa"/>
          </w:tcPr>
          <w:p w:rsidR="00BB43CD" w:rsidRDefault="000C1B9D">
            <w:pPr>
              <w:contextualSpacing w:val="0"/>
            </w:pPr>
            <w:r>
              <w:rPr>
                <w:sz w:val="24"/>
                <w:szCs w:val="24"/>
              </w:rPr>
              <w:t>Parties:</w:t>
            </w:r>
            <w:r>
              <w:rPr>
                <w:sz w:val="24"/>
                <w:szCs w:val="24"/>
                <w:vertAlign w:val="superscript"/>
              </w:rPr>
              <w:footnoteReference w:id="1"/>
            </w:r>
          </w:p>
        </w:tc>
        <w:tc>
          <w:tcPr>
            <w:tcW w:w="9378" w:type="dxa"/>
          </w:tcPr>
          <w:p w:rsidR="00BB43CD" w:rsidRDefault="00C70713">
            <w:pPr>
              <w:contextualSpacing w:val="0"/>
            </w:pPr>
            <w:r>
              <w:t>Susan Weinstein (P)  - USA</w:t>
            </w:r>
          </w:p>
          <w:p w:rsidR="00C70713" w:rsidRDefault="00C70713">
            <w:pPr>
              <w:contextualSpacing w:val="0"/>
            </w:pPr>
            <w:r>
              <w:t>Islamic Republic of Iran (D) - Iran</w:t>
            </w:r>
          </w:p>
          <w:p w:rsidR="00C70713" w:rsidRDefault="00C70713">
            <w:pPr>
              <w:contextualSpacing w:val="0"/>
            </w:pPr>
            <w:r>
              <w:t xml:space="preserve">ICANN (Garnishee) </w:t>
            </w:r>
            <w:r w:rsidR="004800C2">
              <w:t>–</w:t>
            </w:r>
            <w:r>
              <w:t xml:space="preserve"> USA</w:t>
            </w:r>
          </w:p>
          <w:p w:rsidR="004800C2" w:rsidRDefault="004800C2">
            <w:pPr>
              <w:contextualSpacing w:val="0"/>
            </w:pPr>
            <w:r>
              <w:t>United States (AC)</w:t>
            </w:r>
          </w:p>
        </w:tc>
      </w:tr>
      <w:tr w:rsidR="00BB43CD">
        <w:tc>
          <w:tcPr>
            <w:tcW w:w="3798" w:type="dxa"/>
          </w:tcPr>
          <w:p w:rsidR="00BB43CD" w:rsidRDefault="000C1B9D">
            <w:pPr>
              <w:contextualSpacing w:val="0"/>
            </w:pPr>
            <w:r>
              <w:rPr>
                <w:sz w:val="24"/>
                <w:szCs w:val="24"/>
              </w:rPr>
              <w:t>Citizenship of Parties:</w:t>
            </w:r>
          </w:p>
        </w:tc>
        <w:tc>
          <w:tcPr>
            <w:tcW w:w="9378" w:type="dxa"/>
          </w:tcPr>
          <w:p w:rsidR="00BB43CD" w:rsidRDefault="00C70713">
            <w:pPr>
              <w:contextualSpacing w:val="0"/>
            </w:pPr>
            <w:r>
              <w:t>See above</w:t>
            </w:r>
          </w:p>
        </w:tc>
      </w:tr>
      <w:tr w:rsidR="00BB43CD">
        <w:tc>
          <w:tcPr>
            <w:tcW w:w="3798" w:type="dxa"/>
          </w:tcPr>
          <w:p w:rsidR="00BB43CD" w:rsidRDefault="000C1B9D">
            <w:pPr>
              <w:contextualSpacing w:val="0"/>
            </w:pPr>
            <w:r>
              <w:rPr>
                <w:sz w:val="24"/>
                <w:szCs w:val="24"/>
              </w:rPr>
              <w:t>Court/Venue:</w:t>
            </w:r>
          </w:p>
        </w:tc>
        <w:tc>
          <w:tcPr>
            <w:tcW w:w="9378" w:type="dxa"/>
          </w:tcPr>
          <w:p w:rsidR="00BB43CD" w:rsidRDefault="00C70713">
            <w:pPr>
              <w:contextualSpacing w:val="0"/>
            </w:pPr>
            <w:r>
              <w:t>US District Court for the district of Columbia</w:t>
            </w:r>
          </w:p>
        </w:tc>
      </w:tr>
      <w:tr w:rsidR="00BB43CD">
        <w:tc>
          <w:tcPr>
            <w:tcW w:w="3798" w:type="dxa"/>
          </w:tcPr>
          <w:p w:rsidR="00BB43CD" w:rsidRDefault="000C1B9D">
            <w:pPr>
              <w:contextualSpacing w:val="0"/>
            </w:pPr>
            <w:r>
              <w:rPr>
                <w:sz w:val="24"/>
                <w:szCs w:val="24"/>
              </w:rPr>
              <w:t>Choice of Law/Governing Law:</w:t>
            </w:r>
          </w:p>
        </w:tc>
        <w:tc>
          <w:tcPr>
            <w:tcW w:w="9378" w:type="dxa"/>
          </w:tcPr>
          <w:p w:rsidR="00BB43CD" w:rsidRDefault="00BB43CD">
            <w:pPr>
              <w:contextualSpacing w:val="0"/>
            </w:pPr>
            <w:bookmarkStart w:id="1" w:name="_GoBack"/>
            <w:bookmarkEnd w:id="1"/>
          </w:p>
        </w:tc>
      </w:tr>
      <w:tr w:rsidR="00BB43CD">
        <w:tc>
          <w:tcPr>
            <w:tcW w:w="3798" w:type="dxa"/>
          </w:tcPr>
          <w:p w:rsidR="00BB43CD" w:rsidRDefault="000C1B9D">
            <w:pPr>
              <w:contextualSpacing w:val="0"/>
            </w:pPr>
            <w:r>
              <w:rPr>
                <w:sz w:val="24"/>
                <w:szCs w:val="24"/>
              </w:rPr>
              <w:t>Date Case Began:</w:t>
            </w:r>
          </w:p>
        </w:tc>
        <w:tc>
          <w:tcPr>
            <w:tcW w:w="9378" w:type="dxa"/>
          </w:tcPr>
          <w:p w:rsidR="00BB43CD" w:rsidRDefault="00C70713">
            <w:pPr>
              <w:contextualSpacing w:val="0"/>
            </w:pPr>
            <w:r>
              <w:t>24 June 2014</w:t>
            </w:r>
          </w:p>
        </w:tc>
      </w:tr>
      <w:tr w:rsidR="00BB43CD">
        <w:tc>
          <w:tcPr>
            <w:tcW w:w="3798" w:type="dxa"/>
          </w:tcPr>
          <w:p w:rsidR="00BB43CD" w:rsidRDefault="000C1B9D">
            <w:pPr>
              <w:contextualSpacing w:val="0"/>
            </w:pPr>
            <w:r>
              <w:rPr>
                <w:sz w:val="24"/>
                <w:szCs w:val="24"/>
              </w:rPr>
              <w:t>Date Case Ended:</w:t>
            </w:r>
          </w:p>
        </w:tc>
        <w:tc>
          <w:tcPr>
            <w:tcW w:w="9378" w:type="dxa"/>
          </w:tcPr>
          <w:p w:rsidR="00BB43CD" w:rsidRDefault="00C70713">
            <w:pPr>
              <w:contextualSpacing w:val="0"/>
            </w:pPr>
            <w:r>
              <w:t>27 September 2016</w:t>
            </w:r>
          </w:p>
        </w:tc>
      </w:tr>
      <w:tr w:rsidR="00BB43CD">
        <w:tc>
          <w:tcPr>
            <w:tcW w:w="3798" w:type="dxa"/>
          </w:tcPr>
          <w:p w:rsidR="00BB43CD" w:rsidRDefault="000C1B9D">
            <w:pPr>
              <w:contextualSpacing w:val="0"/>
            </w:pPr>
            <w:r>
              <w:rPr>
                <w:sz w:val="24"/>
                <w:szCs w:val="24"/>
              </w:rPr>
              <w:t>Causes of Action:</w:t>
            </w:r>
          </w:p>
        </w:tc>
        <w:tc>
          <w:tcPr>
            <w:tcW w:w="9378" w:type="dxa"/>
          </w:tcPr>
          <w:p w:rsidR="00BB43CD" w:rsidRDefault="004800C2" w:rsidP="004800C2">
            <w:pPr>
              <w:contextualSpacing w:val="0"/>
            </w:pPr>
            <w:r>
              <w:t>Writs of attachment (seize an asset) of .</w:t>
            </w:r>
            <w:proofErr w:type="spellStart"/>
            <w:r>
              <w:t>ir</w:t>
            </w:r>
            <w:proofErr w:type="spellEnd"/>
            <w:r>
              <w:t xml:space="preserve"> ccTLD</w:t>
            </w:r>
          </w:p>
        </w:tc>
      </w:tr>
      <w:tr w:rsidR="00BB43CD">
        <w:tc>
          <w:tcPr>
            <w:tcW w:w="3798" w:type="dxa"/>
          </w:tcPr>
          <w:p w:rsidR="00BB43CD" w:rsidRDefault="000C1B9D">
            <w:pPr>
              <w:contextualSpacing w:val="0"/>
            </w:pPr>
            <w:r>
              <w:rPr>
                <w:sz w:val="24"/>
                <w:szCs w:val="24"/>
              </w:rPr>
              <w:t>Issues Presented:</w:t>
            </w:r>
          </w:p>
        </w:tc>
        <w:tc>
          <w:tcPr>
            <w:tcW w:w="9378" w:type="dxa"/>
          </w:tcPr>
          <w:p w:rsidR="00BB43CD" w:rsidRDefault="00C70713" w:rsidP="00C70713">
            <w:pPr>
              <w:contextualSpacing w:val="0"/>
            </w:pPr>
            <w:proofErr w:type="spellStart"/>
            <w:r>
              <w:t>ccTLDs</w:t>
            </w:r>
            <w:proofErr w:type="spellEnd"/>
            <w:r>
              <w:t xml:space="preserve"> are / are not attachable property ; FSIA Exceptions </w:t>
            </w:r>
          </w:p>
        </w:tc>
      </w:tr>
      <w:tr w:rsidR="00BB43CD">
        <w:tc>
          <w:tcPr>
            <w:tcW w:w="3798" w:type="dxa"/>
          </w:tcPr>
          <w:p w:rsidR="00BB43CD" w:rsidRDefault="000C1B9D">
            <w:pPr>
              <w:contextualSpacing w:val="0"/>
            </w:pPr>
            <w:r>
              <w:rPr>
                <w:sz w:val="24"/>
                <w:szCs w:val="24"/>
              </w:rPr>
              <w:t>Preliminary Relief</w:t>
            </w:r>
            <w:proofErr w:type="gramStart"/>
            <w:r>
              <w:rPr>
                <w:sz w:val="24"/>
                <w:szCs w:val="24"/>
              </w:rPr>
              <w:t>?:</w:t>
            </w:r>
            <w:proofErr w:type="gramEnd"/>
          </w:p>
        </w:tc>
        <w:tc>
          <w:tcPr>
            <w:tcW w:w="9378" w:type="dxa"/>
          </w:tcPr>
          <w:p w:rsidR="00BB43CD" w:rsidRDefault="004800C2">
            <w:pPr>
              <w:contextualSpacing w:val="0"/>
            </w:pPr>
            <w:r>
              <w:t>No</w:t>
            </w:r>
          </w:p>
        </w:tc>
      </w:tr>
      <w:tr w:rsidR="00BB43CD">
        <w:tc>
          <w:tcPr>
            <w:tcW w:w="3798" w:type="dxa"/>
          </w:tcPr>
          <w:p w:rsidR="00BB43CD" w:rsidRDefault="000C1B9D">
            <w:pPr>
              <w:contextualSpacing w:val="0"/>
            </w:pPr>
            <w:r>
              <w:rPr>
                <w:sz w:val="24"/>
                <w:szCs w:val="24"/>
              </w:rPr>
              <w:t>Outcome:</w:t>
            </w:r>
          </w:p>
        </w:tc>
        <w:tc>
          <w:tcPr>
            <w:tcW w:w="9378" w:type="dxa"/>
          </w:tcPr>
          <w:p w:rsidR="00BB43CD" w:rsidRDefault="004800C2">
            <w:pPr>
              <w:contextualSpacing w:val="0"/>
            </w:pPr>
            <w:r>
              <w:t>Writs of attachment quashed (motion denied)</w:t>
            </w:r>
          </w:p>
        </w:tc>
      </w:tr>
      <w:tr w:rsidR="00BB43CD">
        <w:tc>
          <w:tcPr>
            <w:tcW w:w="3798" w:type="dxa"/>
          </w:tcPr>
          <w:p w:rsidR="00BB43CD" w:rsidRDefault="000C1B9D">
            <w:pPr>
              <w:contextualSpacing w:val="0"/>
            </w:pPr>
            <w:r>
              <w:rPr>
                <w:sz w:val="24"/>
                <w:szCs w:val="24"/>
              </w:rPr>
              <w:t>Was Jurisdiction Contested?</w:t>
            </w:r>
            <w:r>
              <w:rPr>
                <w:sz w:val="24"/>
                <w:szCs w:val="24"/>
                <w:vertAlign w:val="superscript"/>
              </w:rPr>
              <w:footnoteReference w:id="2"/>
            </w:r>
          </w:p>
        </w:tc>
        <w:tc>
          <w:tcPr>
            <w:tcW w:w="9378" w:type="dxa"/>
          </w:tcPr>
          <w:p w:rsidR="00BB43CD" w:rsidRDefault="004800C2">
            <w:pPr>
              <w:contextualSpacing w:val="0"/>
            </w:pPr>
            <w:r>
              <w:t>No</w:t>
            </w:r>
          </w:p>
        </w:tc>
      </w:tr>
      <w:tr w:rsidR="00BB43CD">
        <w:tc>
          <w:tcPr>
            <w:tcW w:w="3798" w:type="dxa"/>
          </w:tcPr>
          <w:p w:rsidR="00BB43CD" w:rsidRDefault="00C343D5" w:rsidP="00C343D5">
            <w:pPr>
              <w:contextualSpacing w:val="0"/>
            </w:pPr>
            <w:r>
              <w:rPr>
                <w:sz w:val="24"/>
                <w:szCs w:val="24"/>
              </w:rPr>
              <w:t xml:space="preserve">Did the case have an impact on ICANN’s accountability or the operation of ICANN’s </w:t>
            </w:r>
            <w:proofErr w:type="gramStart"/>
            <w:r>
              <w:rPr>
                <w:sz w:val="24"/>
                <w:szCs w:val="24"/>
              </w:rPr>
              <w:t>policies ?</w:t>
            </w:r>
            <w:proofErr w:type="gramEnd"/>
            <w:r>
              <w:rPr>
                <w:sz w:val="24"/>
                <w:szCs w:val="24"/>
              </w:rPr>
              <w:t xml:space="preserve"> </w:t>
            </w:r>
            <w:r w:rsidR="000C1B9D">
              <w:rPr>
                <w:sz w:val="24"/>
                <w:szCs w:val="24"/>
                <w:vertAlign w:val="superscript"/>
              </w:rPr>
              <w:footnoteReference w:id="3"/>
            </w:r>
          </w:p>
        </w:tc>
        <w:tc>
          <w:tcPr>
            <w:tcW w:w="9378" w:type="dxa"/>
          </w:tcPr>
          <w:p w:rsidR="00BB43CD" w:rsidRDefault="004800C2">
            <w:pPr>
              <w:contextualSpacing w:val="0"/>
            </w:pPr>
            <w:r>
              <w:t xml:space="preserve">The case would have over-ruled ccTLD policy and operations. As ICANN stated in one of its briefs “it would wreak havoc on the DNS system”. </w:t>
            </w:r>
          </w:p>
        </w:tc>
      </w:tr>
      <w:tr w:rsidR="00C343D5">
        <w:tc>
          <w:tcPr>
            <w:tcW w:w="3798" w:type="dxa"/>
          </w:tcPr>
          <w:p w:rsidR="00C343D5" w:rsidRDefault="00C343D5" w:rsidP="00C343D5">
            <w:pPr>
              <w:widowControl/>
              <w:numPr>
                <w:ilvl w:val="0"/>
                <w:numId w:val="1"/>
              </w:numPr>
              <w:rPr>
                <w:rFonts w:eastAsia="Times New Roman"/>
              </w:rPr>
            </w:pPr>
            <w:r>
              <w:rPr>
                <w:rFonts w:eastAsia="Times New Roman"/>
              </w:rPr>
              <w:t>What relief was requested by the plaintiff from ICANN (or ICANN from defendant if ICANN was a plaintiff)?</w:t>
            </w:r>
          </w:p>
          <w:p w:rsidR="00C343D5" w:rsidRDefault="00C343D5">
            <w:pPr>
              <w:rPr>
                <w:sz w:val="24"/>
                <w:szCs w:val="24"/>
              </w:rPr>
            </w:pPr>
          </w:p>
        </w:tc>
        <w:tc>
          <w:tcPr>
            <w:tcW w:w="9378" w:type="dxa"/>
          </w:tcPr>
          <w:p w:rsidR="00C343D5" w:rsidRDefault="004800C2">
            <w:r>
              <w:lastRenderedPageBreak/>
              <w:t>The plaintiff requested ICANN to seize the .</w:t>
            </w:r>
            <w:proofErr w:type="spellStart"/>
            <w:r>
              <w:t>ir</w:t>
            </w:r>
            <w:proofErr w:type="spellEnd"/>
            <w:r>
              <w:t xml:space="preserve"> ccTLD from the Islamic Republic of Iran </w:t>
            </w:r>
          </w:p>
        </w:tc>
      </w:tr>
      <w:tr w:rsidR="00C343D5">
        <w:tc>
          <w:tcPr>
            <w:tcW w:w="3798" w:type="dxa"/>
          </w:tcPr>
          <w:p w:rsidR="00C343D5" w:rsidRDefault="00C343D5" w:rsidP="00C343D5">
            <w:pPr>
              <w:widowControl/>
              <w:numPr>
                <w:ilvl w:val="0"/>
                <w:numId w:val="1"/>
              </w:numPr>
              <w:rPr>
                <w:rFonts w:eastAsia="Times New Roman"/>
              </w:rPr>
            </w:pPr>
            <w:r>
              <w:rPr>
                <w:rFonts w:eastAsia="Times New Roman"/>
              </w:rPr>
              <w:lastRenderedPageBreak/>
              <w:t>What relief, if any, was granted to the plaintiff?</w:t>
            </w:r>
          </w:p>
          <w:p w:rsidR="00C343D5" w:rsidRDefault="00C343D5">
            <w:pPr>
              <w:rPr>
                <w:sz w:val="24"/>
                <w:szCs w:val="24"/>
              </w:rPr>
            </w:pPr>
          </w:p>
        </w:tc>
        <w:tc>
          <w:tcPr>
            <w:tcW w:w="9378" w:type="dxa"/>
          </w:tcPr>
          <w:p w:rsidR="00C343D5" w:rsidRDefault="004800C2">
            <w:r>
              <w:t>None</w:t>
            </w:r>
          </w:p>
        </w:tc>
      </w:tr>
      <w:tr w:rsidR="00C343D5">
        <w:tc>
          <w:tcPr>
            <w:tcW w:w="3798" w:type="dxa"/>
          </w:tcPr>
          <w:p w:rsidR="00C343D5" w:rsidRDefault="00C343D5" w:rsidP="00C343D5">
            <w:pPr>
              <w:widowControl/>
              <w:numPr>
                <w:ilvl w:val="0"/>
                <w:numId w:val="1"/>
              </w:numPr>
              <w:rPr>
                <w:rFonts w:eastAsia="Times New Roman"/>
              </w:rPr>
            </w:pPr>
            <w:r>
              <w:rPr>
                <w:rFonts w:eastAsia="Times New Roman"/>
              </w:rPr>
              <w:t xml:space="preserve">Did the Court in its decision offer any conclusion as to the lack of merit/frivolity of the plaintiff’s claim?   </w:t>
            </w:r>
          </w:p>
          <w:p w:rsidR="00C343D5" w:rsidRDefault="00C343D5">
            <w:pPr>
              <w:rPr>
                <w:sz w:val="24"/>
                <w:szCs w:val="24"/>
              </w:rPr>
            </w:pPr>
          </w:p>
        </w:tc>
        <w:tc>
          <w:tcPr>
            <w:tcW w:w="9378" w:type="dxa"/>
          </w:tcPr>
          <w:p w:rsidR="00C343D5" w:rsidRDefault="004800C2">
            <w:r>
              <w:t>No</w:t>
            </w:r>
          </w:p>
        </w:tc>
      </w:tr>
      <w:tr w:rsidR="00BB43CD">
        <w:tc>
          <w:tcPr>
            <w:tcW w:w="3798" w:type="dxa"/>
          </w:tcPr>
          <w:p w:rsidR="00BB43CD" w:rsidRDefault="000C1B9D">
            <w:pPr>
              <w:contextualSpacing w:val="0"/>
            </w:pPr>
            <w:r>
              <w:rPr>
                <w:sz w:val="24"/>
                <w:szCs w:val="24"/>
              </w:rPr>
              <w:t>Key Documents:</w:t>
            </w:r>
          </w:p>
        </w:tc>
        <w:tc>
          <w:tcPr>
            <w:tcW w:w="9378" w:type="dxa"/>
          </w:tcPr>
          <w:p w:rsidR="00BB43CD" w:rsidRDefault="00BB43CD">
            <w:pPr>
              <w:contextualSpacing w:val="0"/>
            </w:pPr>
          </w:p>
        </w:tc>
      </w:tr>
    </w:tbl>
    <w:p w:rsidR="00BB43CD" w:rsidRDefault="00BB43CD"/>
    <w:sectPr w:rsidR="00BB43CD">
      <w:headerReference w:type="even" r:id="rId8"/>
      <w:headerReference w:type="default" r:id="rId9"/>
      <w:footerReference w:type="even" r:id="rId10"/>
      <w:footerReference w:type="default" r:id="rId11"/>
      <w:headerReference w:type="first" r:id="rId12"/>
      <w:footerReference w:type="first" r:id="rId13"/>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FBC" w:rsidRDefault="00F61FBC">
      <w:pPr>
        <w:spacing w:after="0" w:line="240" w:lineRule="auto"/>
      </w:pPr>
      <w:r>
        <w:separator/>
      </w:r>
    </w:p>
  </w:endnote>
  <w:endnote w:type="continuationSeparator" w:id="0">
    <w:p w:rsidR="00F61FBC" w:rsidRDefault="00F6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FBC" w:rsidRDefault="00F61FBC">
      <w:pPr>
        <w:spacing w:after="0" w:line="240" w:lineRule="auto"/>
      </w:pPr>
      <w:r>
        <w:separator/>
      </w:r>
    </w:p>
  </w:footnote>
  <w:footnote w:type="continuationSeparator" w:id="0">
    <w:p w:rsidR="00F61FBC" w:rsidRDefault="00F61FBC">
      <w:pPr>
        <w:spacing w:after="0" w:line="240" w:lineRule="auto"/>
      </w:pPr>
      <w:r>
        <w:continuationSeparator/>
      </w:r>
    </w:p>
  </w:footnote>
  <w:footnote w:id="1">
    <w:p w:rsidR="00BB43CD" w:rsidRDefault="000C1B9D">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BB43CD" w:rsidRDefault="000C1B9D">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BB43CD" w:rsidRDefault="000C1B9D">
      <w:pPr>
        <w:spacing w:after="0" w:line="240" w:lineRule="auto"/>
      </w:pPr>
      <w:r>
        <w:rPr>
          <w:vertAlign w:val="superscript"/>
        </w:rPr>
        <w:footnoteRef/>
      </w:r>
      <w:r>
        <w:rPr>
          <w:sz w:val="20"/>
          <w:szCs w:val="20"/>
        </w:rPr>
        <w:t xml:space="preserve"> </w:t>
      </w:r>
      <w:r>
        <w:t>Indicate whether the case had or will have an effect on ICANN’s accountability mechanisms or the operation of ICANN’s policies</w:t>
      </w:r>
      <w:proofErr w:type="gramStart"/>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33410"/>
    <w:multiLevelType w:val="hybridMultilevel"/>
    <w:tmpl w:val="38F46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B43CD"/>
    <w:rsid w:val="000C1B9D"/>
    <w:rsid w:val="004800C2"/>
    <w:rsid w:val="007969CD"/>
    <w:rsid w:val="00A4048C"/>
    <w:rsid w:val="00B01295"/>
    <w:rsid w:val="00BB43CD"/>
    <w:rsid w:val="00C112B0"/>
    <w:rsid w:val="00C343D5"/>
    <w:rsid w:val="00C70713"/>
    <w:rsid w:val="00F61FBC"/>
    <w:rsid w:val="00FC4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7105">
      <w:bodyDiv w:val="1"/>
      <w:marLeft w:val="0"/>
      <w:marRight w:val="0"/>
      <w:marTop w:val="0"/>
      <w:marBottom w:val="0"/>
      <w:divBdr>
        <w:top w:val="none" w:sz="0" w:space="0" w:color="auto"/>
        <w:left w:val="none" w:sz="0" w:space="0" w:color="auto"/>
        <w:bottom w:val="none" w:sz="0" w:space="0" w:color="auto"/>
        <w:right w:val="none" w:sz="0" w:space="0" w:color="auto"/>
      </w:divBdr>
    </w:div>
    <w:div w:id="233587273">
      <w:bodyDiv w:val="1"/>
      <w:marLeft w:val="0"/>
      <w:marRight w:val="0"/>
      <w:marTop w:val="0"/>
      <w:marBottom w:val="0"/>
      <w:divBdr>
        <w:top w:val="none" w:sz="0" w:space="0" w:color="auto"/>
        <w:left w:val="none" w:sz="0" w:space="0" w:color="auto"/>
        <w:bottom w:val="none" w:sz="0" w:space="0" w:color="auto"/>
        <w:right w:val="none" w:sz="0" w:space="0" w:color="auto"/>
      </w:divBdr>
    </w:div>
    <w:div w:id="358891860">
      <w:bodyDiv w:val="1"/>
      <w:marLeft w:val="0"/>
      <w:marRight w:val="0"/>
      <w:marTop w:val="0"/>
      <w:marBottom w:val="0"/>
      <w:divBdr>
        <w:top w:val="none" w:sz="0" w:space="0" w:color="auto"/>
        <w:left w:val="none" w:sz="0" w:space="0" w:color="auto"/>
        <w:bottom w:val="none" w:sz="0" w:space="0" w:color="auto"/>
        <w:right w:val="none" w:sz="0" w:space="0" w:color="auto"/>
      </w:divBdr>
    </w:div>
    <w:div w:id="1672490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230</Words>
  <Characters>1267</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McCarter &amp; English, LLP</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weill</cp:lastModifiedBy>
  <cp:revision>3</cp:revision>
  <dcterms:created xsi:type="dcterms:W3CDTF">2017-02-17T15:08:00Z</dcterms:created>
  <dcterms:modified xsi:type="dcterms:W3CDTF">2017-02-17T15:24:00Z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