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74" w:rsidRPr="002E2E74" w:rsidRDefault="002E2E74" w:rsidP="002E2E74">
      <w:pPr>
        <w:jc w:val="center"/>
        <w:rPr>
          <w:b/>
        </w:rPr>
      </w:pPr>
      <w:bookmarkStart w:id="0" w:name="_GoBack"/>
      <w:bookmarkEnd w:id="0"/>
      <w:r w:rsidRPr="002E2E74">
        <w:rPr>
          <w:b/>
        </w:rPr>
        <w:t>FOLLOW-UP QUESTION</w:t>
      </w:r>
      <w:r w:rsidR="00B84DB9">
        <w:rPr>
          <w:b/>
        </w:rPr>
        <w:t>S</w:t>
      </w:r>
      <w:r w:rsidRPr="002E2E74">
        <w:rPr>
          <w:b/>
        </w:rPr>
        <w:t xml:space="preserve"> FROM JURISDICTION SUBGROUP TO ICANN LEGAL</w:t>
      </w:r>
    </w:p>
    <w:p w:rsidR="002E2E74" w:rsidRPr="009B3D4B" w:rsidRDefault="002E2E74">
      <w:pPr>
        <w:rPr>
          <w:i/>
        </w:rPr>
      </w:pPr>
      <w:r w:rsidRPr="009B3D4B">
        <w:rPr>
          <w:i/>
        </w:rPr>
        <w:t>ICANN Legal responded on April 10 to questions posed by the Jurisdiction Subgroup.</w:t>
      </w:r>
      <w:r w:rsidR="009B3D4B" w:rsidRPr="009B3D4B">
        <w:rPr>
          <w:i/>
        </w:rPr>
        <w:t xml:space="preserve">  </w:t>
      </w:r>
    </w:p>
    <w:p w:rsidR="009B3D4B" w:rsidRPr="009B3D4B" w:rsidRDefault="009B3D4B">
      <w:pPr>
        <w:rPr>
          <w:i/>
        </w:rPr>
      </w:pPr>
      <w:r w:rsidRPr="009B3D4B">
        <w:rPr>
          <w:i/>
        </w:rPr>
        <w:t>The Subgroup asked the following question:</w:t>
      </w:r>
    </w:p>
    <w:p w:rsidR="002E2E74" w:rsidRDefault="002E2E74">
      <w:r>
        <w:t>B. Choice of Law and Venue in ICANN’s Contracts. The Subgroup would also like to understand how ICANN handles choice of law and venue in ICANN’s contracts. 1. For each type of ICANN contract, please indicate whether the contract specifies (a) the choice of law or (b) the venue. Where either is specified, please indicate the jurisdiction and/or venue specified, and the reasons for these choices. Where ICANN does not specify choice of law or jurisdiction, please explain why.</w:t>
      </w:r>
    </w:p>
    <w:p w:rsidR="009B3D4B" w:rsidRPr="009B3D4B" w:rsidRDefault="009B3D4B">
      <w:pPr>
        <w:rPr>
          <w:i/>
        </w:rPr>
      </w:pPr>
      <w:r w:rsidRPr="009B3D4B">
        <w:rPr>
          <w:i/>
        </w:rPr>
        <w:t>ICANN Legal’s answer included the following statement:</w:t>
      </w:r>
    </w:p>
    <w:p w:rsidR="00EF009B" w:rsidRDefault="002E2E74">
      <w:pPr>
        <w:rPr>
          <w:b/>
        </w:rPr>
      </w:pPr>
      <w:r w:rsidRPr="002E2E74">
        <w:rPr>
          <w:b/>
        </w:rPr>
        <w:t>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 conduct at issue. Arbitrators and courts are well-suited to make those types of determinations.</w:t>
      </w:r>
      <w:r w:rsidRPr="002E2E74">
        <w:rPr>
          <w:rStyle w:val="FootnoteReference"/>
          <w:b/>
        </w:rPr>
        <w:footnoteReference w:id="1"/>
      </w:r>
    </w:p>
    <w:p w:rsidR="00B84DB9" w:rsidRDefault="00B84DB9" w:rsidP="00232FE5">
      <w:pPr>
        <w:rPr>
          <w:i/>
        </w:rPr>
      </w:pPr>
      <w:r>
        <w:rPr>
          <w:i/>
        </w:rPr>
        <w:t xml:space="preserve">FOLLOW-UP QUESTIONS: </w:t>
      </w:r>
      <w:r w:rsidR="003170EF">
        <w:rPr>
          <w:i/>
        </w:rPr>
        <w:t>The Subgroup would like to better understand ICANN’s</w:t>
      </w:r>
      <w:r w:rsidR="00232FE5" w:rsidRPr="00232FE5">
        <w:rPr>
          <w:i/>
        </w:rPr>
        <w:t xml:space="preserve"> reasons for not specifying the applicable law</w:t>
      </w:r>
      <w:r w:rsidR="003170EF">
        <w:rPr>
          <w:i/>
        </w:rPr>
        <w:t xml:space="preserve"> in these agreements.</w:t>
      </w:r>
      <w:r w:rsidR="005B72D1">
        <w:rPr>
          <w:i/>
        </w:rPr>
        <w:t xml:space="preserve"> Aside from determining the law that governs the parties’ conduct (</w:t>
      </w:r>
      <w:r w:rsidR="005652F6">
        <w:rPr>
          <w:i/>
        </w:rPr>
        <w:t xml:space="preserve">as </w:t>
      </w:r>
      <w:r w:rsidR="005B72D1">
        <w:rPr>
          <w:i/>
        </w:rPr>
        <w:t xml:space="preserve">referred to in ICANN Legal’s answer), applicable law is also significant when interpreting the contract itself.  </w:t>
      </w:r>
    </w:p>
    <w:p w:rsidR="00B84DB9" w:rsidRDefault="005B72D1" w:rsidP="00B84DB9">
      <w:pPr>
        <w:pStyle w:val="ListParagraph"/>
        <w:numPr>
          <w:ilvl w:val="0"/>
          <w:numId w:val="1"/>
        </w:numPr>
        <w:rPr>
          <w:i/>
        </w:rPr>
      </w:pPr>
      <w:r w:rsidRPr="00B84DB9">
        <w:rPr>
          <w:i/>
        </w:rPr>
        <w:t xml:space="preserve">What are ICANN’s </w:t>
      </w:r>
      <w:r w:rsidR="00B84DB9">
        <w:rPr>
          <w:i/>
        </w:rPr>
        <w:t xml:space="preserve">reasons and </w:t>
      </w:r>
      <w:r w:rsidRPr="00B84DB9">
        <w:rPr>
          <w:i/>
        </w:rPr>
        <w:t xml:space="preserve">considerations in not specifying the law of the contract?  </w:t>
      </w:r>
    </w:p>
    <w:p w:rsidR="00B84DB9" w:rsidRDefault="005B72D1" w:rsidP="00B84DB9">
      <w:pPr>
        <w:pStyle w:val="ListParagraph"/>
        <w:numPr>
          <w:ilvl w:val="0"/>
          <w:numId w:val="1"/>
        </w:numPr>
        <w:rPr>
          <w:i/>
        </w:rPr>
      </w:pPr>
      <w:r w:rsidRPr="00B84DB9">
        <w:rPr>
          <w:i/>
        </w:rPr>
        <w:t xml:space="preserve">How did ICANN take this into consideration when drafting these contracts?  </w:t>
      </w:r>
    </w:p>
    <w:p w:rsidR="00B84DB9" w:rsidRDefault="005B72D1" w:rsidP="00B84DB9">
      <w:pPr>
        <w:pStyle w:val="ListParagraph"/>
        <w:numPr>
          <w:ilvl w:val="0"/>
          <w:numId w:val="1"/>
        </w:numPr>
        <w:rPr>
          <w:i/>
        </w:rPr>
      </w:pPr>
      <w:r w:rsidRPr="00B84DB9">
        <w:rPr>
          <w:i/>
        </w:rPr>
        <w:t>How does ICANN take this into consideration when interpreting contracts where there is no arbitration or litigation (e.g., in contract negotiations, disagreements on contract interpretation, contract compliance, contract enforcement, and allegations of contractual breach?</w:t>
      </w:r>
    </w:p>
    <w:p w:rsidR="00630F5E" w:rsidRPr="00B84DB9" w:rsidRDefault="00630F5E" w:rsidP="00B84DB9">
      <w:pPr>
        <w:pStyle w:val="ListParagraph"/>
        <w:numPr>
          <w:ilvl w:val="0"/>
          <w:numId w:val="1"/>
        </w:numPr>
        <w:rPr>
          <w:i/>
        </w:rPr>
      </w:pPr>
      <w:r>
        <w:rPr>
          <w:i/>
        </w:rPr>
        <w:t>W</w:t>
      </w:r>
      <w:r w:rsidRPr="00630F5E">
        <w:rPr>
          <w:i/>
        </w:rPr>
        <w:t xml:space="preserve">hat other information can you share with the </w:t>
      </w:r>
      <w:r>
        <w:rPr>
          <w:i/>
        </w:rPr>
        <w:t>Sub</w:t>
      </w:r>
      <w:r w:rsidRPr="00630F5E">
        <w:rPr>
          <w:i/>
        </w:rPr>
        <w:t>group to aid it in understanding th</w:t>
      </w:r>
      <w:r>
        <w:rPr>
          <w:i/>
        </w:rPr>
        <w:t>e lack of an applicable law clause?</w:t>
      </w:r>
      <w:r w:rsidRPr="00630F5E">
        <w:rPr>
          <w:i/>
        </w:rPr>
        <w:t xml:space="preserve">  </w:t>
      </w:r>
    </w:p>
    <w:p w:rsidR="009B3D4B" w:rsidRPr="009B3D4B" w:rsidRDefault="009B3D4B">
      <w:pPr>
        <w:rPr>
          <w:i/>
        </w:rPr>
      </w:pPr>
    </w:p>
    <w:sectPr w:rsidR="009B3D4B" w:rsidRPr="009B3D4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E98" w:rsidRDefault="00297E98" w:rsidP="002E2E74">
      <w:pPr>
        <w:spacing w:after="0" w:line="240" w:lineRule="auto"/>
      </w:pPr>
      <w:r>
        <w:separator/>
      </w:r>
    </w:p>
  </w:endnote>
  <w:endnote w:type="continuationSeparator" w:id="0">
    <w:p w:rsidR="00297E98" w:rsidRDefault="00297E98" w:rsidP="002E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E98" w:rsidRDefault="00297E98" w:rsidP="002E2E74">
      <w:pPr>
        <w:spacing w:after="0" w:line="240" w:lineRule="auto"/>
      </w:pPr>
      <w:r>
        <w:separator/>
      </w:r>
    </w:p>
  </w:footnote>
  <w:footnote w:type="continuationSeparator" w:id="0">
    <w:p w:rsidR="00297E98" w:rsidRDefault="00297E98" w:rsidP="002E2E74">
      <w:pPr>
        <w:spacing w:after="0" w:line="240" w:lineRule="auto"/>
      </w:pPr>
      <w:r>
        <w:continuationSeparator/>
      </w:r>
    </w:p>
  </w:footnote>
  <w:footnote w:id="1">
    <w:p w:rsidR="002E2E74" w:rsidRPr="002E2E74" w:rsidRDefault="002E2E74">
      <w:pPr>
        <w:pStyle w:val="FootnoteText"/>
        <w:rPr>
          <w:b/>
        </w:rPr>
      </w:pPr>
      <w:r w:rsidRPr="002E2E74">
        <w:rPr>
          <w:rStyle w:val="FootnoteReference"/>
          <w:b/>
        </w:rPr>
        <w:footnoteRef/>
      </w:r>
      <w:r w:rsidRPr="002E2E74">
        <w:rPr>
          <w:b/>
        </w:rPr>
        <w:t xml:space="preserve"> ICANN has a few legacy agreements with managers of ccTLDs, and a special agreement with EURID for the operation of the .EU ccTLD. Under that EURID/ICANN Agreement, arbitration must occur in a place of legal residence of either party; an injunction may be granted by a court with appropriate jurisdiction in a place of legal residence of the party against whom the injunction is sought; and awards may be enforced in any court of competent jurisdiction. The choice of law requires Belgian law to apply to acts of EURID and California law to apply to acts of ICANN.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5E" w:rsidRDefault="00630F5E" w:rsidP="00630F5E">
    <w:pPr>
      <w:pStyle w:val="Header"/>
      <w:jc w:val="right"/>
      <w:rPr>
        <w:b/>
      </w:rPr>
    </w:pPr>
    <w:r w:rsidRPr="00630F5E">
      <w:rPr>
        <w:b/>
      </w:rPr>
      <w:t>May 1, 2017 v1.1</w:t>
    </w:r>
  </w:p>
  <w:p w:rsidR="005652F6" w:rsidRPr="00630F5E" w:rsidRDefault="005652F6" w:rsidP="00630F5E">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97F62"/>
    <w:multiLevelType w:val="hybridMultilevel"/>
    <w:tmpl w:val="5EE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74"/>
    <w:rsid w:val="00232FE5"/>
    <w:rsid w:val="00297E98"/>
    <w:rsid w:val="002E2E74"/>
    <w:rsid w:val="003170EF"/>
    <w:rsid w:val="005652F6"/>
    <w:rsid w:val="005B72D1"/>
    <w:rsid w:val="00630F5E"/>
    <w:rsid w:val="009B3D4B"/>
    <w:rsid w:val="00B84DB9"/>
    <w:rsid w:val="00C0764A"/>
    <w:rsid w:val="00E55BDB"/>
    <w:rsid w:val="00E678BC"/>
    <w:rsid w:val="00EF009B"/>
    <w:rsid w:val="00FB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2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74"/>
    <w:rPr>
      <w:sz w:val="20"/>
      <w:szCs w:val="20"/>
    </w:rPr>
  </w:style>
  <w:style w:type="character" w:styleId="FootnoteReference">
    <w:name w:val="footnote reference"/>
    <w:basedOn w:val="DefaultParagraphFont"/>
    <w:uiPriority w:val="99"/>
    <w:semiHidden/>
    <w:unhideWhenUsed/>
    <w:rsid w:val="002E2E74"/>
    <w:rPr>
      <w:vertAlign w:val="superscript"/>
    </w:rPr>
  </w:style>
  <w:style w:type="paragraph" w:styleId="ListParagraph">
    <w:name w:val="List Paragraph"/>
    <w:basedOn w:val="Normal"/>
    <w:uiPriority w:val="34"/>
    <w:qFormat/>
    <w:rsid w:val="00B84DB9"/>
    <w:pPr>
      <w:ind w:left="720"/>
      <w:contextualSpacing/>
    </w:pPr>
  </w:style>
  <w:style w:type="paragraph" w:styleId="Header">
    <w:name w:val="header"/>
    <w:basedOn w:val="Normal"/>
    <w:link w:val="HeaderChar"/>
    <w:uiPriority w:val="99"/>
    <w:unhideWhenUsed/>
    <w:rsid w:val="0063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5E"/>
  </w:style>
  <w:style w:type="paragraph" w:styleId="Footer">
    <w:name w:val="footer"/>
    <w:basedOn w:val="Normal"/>
    <w:link w:val="FooterChar"/>
    <w:uiPriority w:val="99"/>
    <w:unhideWhenUsed/>
    <w:rsid w:val="0063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2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74"/>
    <w:rPr>
      <w:sz w:val="20"/>
      <w:szCs w:val="20"/>
    </w:rPr>
  </w:style>
  <w:style w:type="character" w:styleId="FootnoteReference">
    <w:name w:val="footnote reference"/>
    <w:basedOn w:val="DefaultParagraphFont"/>
    <w:uiPriority w:val="99"/>
    <w:semiHidden/>
    <w:unhideWhenUsed/>
    <w:rsid w:val="002E2E74"/>
    <w:rPr>
      <w:vertAlign w:val="superscript"/>
    </w:rPr>
  </w:style>
  <w:style w:type="paragraph" w:styleId="ListParagraph">
    <w:name w:val="List Paragraph"/>
    <w:basedOn w:val="Normal"/>
    <w:uiPriority w:val="34"/>
    <w:qFormat/>
    <w:rsid w:val="00B84DB9"/>
    <w:pPr>
      <w:ind w:left="720"/>
      <w:contextualSpacing/>
    </w:pPr>
  </w:style>
  <w:style w:type="paragraph" w:styleId="Header">
    <w:name w:val="header"/>
    <w:basedOn w:val="Normal"/>
    <w:link w:val="HeaderChar"/>
    <w:uiPriority w:val="99"/>
    <w:unhideWhenUsed/>
    <w:rsid w:val="0063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5E"/>
  </w:style>
  <w:style w:type="paragraph" w:styleId="Footer">
    <w:name w:val="footer"/>
    <w:basedOn w:val="Normal"/>
    <w:link w:val="FooterChar"/>
    <w:uiPriority w:val="99"/>
    <w:unhideWhenUsed/>
    <w:rsid w:val="0063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65CC-037E-4E58-8AC8-A47667F9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4</cp:revision>
  <cp:lastPrinted>2017-05-02T01:22:00Z</cp:lastPrinted>
  <dcterms:created xsi:type="dcterms:W3CDTF">2017-04-24T23:48:00Z</dcterms:created>
  <dcterms:modified xsi:type="dcterms:W3CDTF">2017-05-02T01:23:00Z</dcterms:modified>
</cp:coreProperties>
</file>