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5" w:rsidRPr="0048483B" w:rsidRDefault="00495975" w:rsidP="00CF1CCB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CCWG-Accountability Work Stream 2</w:t>
      </w:r>
    </w:p>
    <w:p w:rsidR="00495975" w:rsidRPr="0048483B" w:rsidRDefault="00A02AC7" w:rsidP="00CF1CCB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Jurisdiction 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Subgroup, Meeting #</w:t>
      </w:r>
      <w:r w:rsidR="000D020F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4</w:t>
      </w:r>
      <w:r w:rsidR="00361FF2">
        <w:rPr>
          <w:rFonts w:asciiTheme="minorHAnsi" w:hAnsiTheme="minorHAnsi" w:cstheme="minorHAnsi"/>
          <w:b/>
          <w:color w:val="222A35" w:themeColor="text2" w:themeShade="80"/>
          <w:szCs w:val="24"/>
        </w:rPr>
        <w:t>8</w:t>
      </w:r>
    </w:p>
    <w:p w:rsidR="00495975" w:rsidRPr="0048483B" w:rsidRDefault="0085714E" w:rsidP="00CF1CCB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Cs w:val="24"/>
        </w:rPr>
      </w:pP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September </w:t>
      </w:r>
      <w:r w:rsidR="00361FF2">
        <w:rPr>
          <w:rFonts w:asciiTheme="minorHAnsi" w:hAnsiTheme="minorHAnsi" w:cstheme="minorHAnsi"/>
          <w:b/>
          <w:color w:val="222A35" w:themeColor="text2" w:themeShade="80"/>
          <w:szCs w:val="24"/>
        </w:rPr>
        <w:t>27</w:t>
      </w:r>
      <w:r w:rsidR="002703A4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, 2017, </w:t>
      </w:r>
      <w:r>
        <w:rPr>
          <w:rFonts w:asciiTheme="minorHAnsi" w:hAnsiTheme="minorHAnsi" w:cstheme="minorHAnsi"/>
          <w:b/>
          <w:color w:val="222A35" w:themeColor="text2" w:themeShade="80"/>
          <w:szCs w:val="24"/>
        </w:rPr>
        <w:t>19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>:00</w:t>
      </w:r>
      <w:r w:rsidR="00C23990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– 20:30</w:t>
      </w:r>
      <w:r w:rsidR="00495975" w:rsidRPr="0048483B">
        <w:rPr>
          <w:rFonts w:asciiTheme="minorHAnsi" w:hAnsiTheme="minorHAnsi" w:cstheme="minorHAnsi"/>
          <w:b/>
          <w:color w:val="222A35" w:themeColor="text2" w:themeShade="80"/>
          <w:szCs w:val="24"/>
        </w:rPr>
        <w:t xml:space="preserve"> UTC</w:t>
      </w:r>
    </w:p>
    <w:p w:rsidR="00495975" w:rsidRPr="0048483B" w:rsidRDefault="00495975" w:rsidP="005075B7">
      <w:pPr>
        <w:spacing w:after="240" w:line="240" w:lineRule="auto"/>
        <w:jc w:val="center"/>
        <w:rPr>
          <w:rFonts w:asciiTheme="minorHAnsi" w:hAnsiTheme="minorHAnsi" w:cstheme="minorHAnsi"/>
          <w:color w:val="222A35" w:themeColor="text2" w:themeShade="80"/>
          <w:szCs w:val="24"/>
        </w:rPr>
      </w:pPr>
      <w:r w:rsidRPr="0048483B">
        <w:rPr>
          <w:rFonts w:asciiTheme="minorHAnsi" w:hAnsiTheme="minorHAnsi" w:cstheme="minorHAnsi"/>
          <w:b/>
          <w:color w:val="222A35" w:themeColor="text2" w:themeShade="80"/>
          <w:szCs w:val="24"/>
          <w:u w:val="single"/>
        </w:rPr>
        <w:t>AGENDA</w:t>
      </w:r>
    </w:p>
    <w:p w:rsidR="00AF5DAD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Welcome</w:t>
      </w:r>
    </w:p>
    <w:p w:rsidR="00AF5DAD" w:rsidRPr="0048483B" w:rsidRDefault="0048483B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Review of Agenda (2</w:t>
      </w:r>
      <w:r w:rsidR="00AF5DAD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minutes)</w:t>
      </w:r>
    </w:p>
    <w:p w:rsidR="00AF5DAD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Administration (1 minute)</w:t>
      </w:r>
    </w:p>
    <w:p w:rsidR="00AF5DAD" w:rsidRPr="0048483B" w:rsidRDefault="00AF5DA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Changes to SOIs</w:t>
      </w:r>
    </w:p>
    <w:p w:rsidR="00AF5DAD" w:rsidRPr="0048483B" w:rsidRDefault="00AF5DA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Identify Audio Only and Phone Number Participants</w:t>
      </w:r>
    </w:p>
    <w:p w:rsidR="0085714E" w:rsidRPr="00CF1365" w:rsidRDefault="008074EA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Complete</w:t>
      </w:r>
      <w:r w:rsidR="00C8631A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</w:t>
      </w:r>
      <w:r w:rsidR="0085714E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Discussion of </w:t>
      </w: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“OFAC Recommendation</w:t>
      </w:r>
      <w:r w:rsidR="0085714E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”</w:t>
      </w:r>
      <w:r w:rsidR="00C2399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</w:t>
      </w:r>
      <w:bookmarkStart w:id="0" w:name="_GoBack"/>
      <w:bookmarkEnd w:id="0"/>
      <w:r w:rsidR="00C2399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30 minutes)</w:t>
      </w:r>
    </w:p>
    <w:p w:rsidR="0085714E" w:rsidRPr="00CF1365" w:rsidRDefault="0085714E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Discussion of </w:t>
      </w:r>
      <w:r w:rsidR="00361FF2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“Applicable Law and Choice of Venue Recommendation”</w:t>
      </w:r>
      <w:r w:rsidR="00C2399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(40 minutes)</w:t>
      </w:r>
    </w:p>
    <w:p w:rsidR="00B51B0A" w:rsidRDefault="00B51B0A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law provision in registry agreements</w:t>
      </w:r>
      <w:r w:rsidR="0066691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does the Subgroup endorse an option?</w:t>
      </w:r>
    </w:p>
    <w:p w:rsidR="00B51B0A" w:rsidRDefault="0066691D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</w:t>
      </w:r>
      <w:r w:rsidR="00B51B0A" w:rsidRPr="004831E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Status 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Q</w:t>
      </w:r>
      <w:r w:rsidR="00B51B0A" w:rsidRPr="004831E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uo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” option</w:t>
      </w:r>
      <w:r w:rsid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(no choice of law)</w:t>
      </w:r>
    </w:p>
    <w:p w:rsidR="00B51B0A" w:rsidRDefault="00B51B0A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31E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“Menu” option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a limited number of choices (e.g., one per region)</w:t>
      </w:r>
    </w:p>
    <w:p w:rsidR="00B51B0A" w:rsidRDefault="00B51B0A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4831E0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“California” option</w:t>
      </w:r>
      <w:r w:rsidR="004831E0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California and US law is the governing law</w:t>
      </w:r>
    </w:p>
    <w:p w:rsidR="00B51B0A" w:rsidRDefault="00B51B0A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824E0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“Carve out” option</w:t>
      </w:r>
      <w:r w:rsidR="004831E0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specified provisions are governed by a uniform law (e.g., California) while the rest are governed by the governing law of the Registry</w:t>
      </w:r>
    </w:p>
    <w:p w:rsidR="004831E0" w:rsidRPr="00B51B0A" w:rsidRDefault="004831E0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824E0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“Bespoke” option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the governing law of the Registry is the governing law of the document</w:t>
      </w:r>
    </w:p>
    <w:p w:rsidR="00B51B0A" w:rsidRDefault="00B51B0A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law provision in registrar accreditation agreements</w:t>
      </w:r>
    </w:p>
    <w:p w:rsidR="00C23990" w:rsidRPr="00B51B0A" w:rsidRDefault="00C23990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Same choices as above?  Same result?</w:t>
      </w:r>
    </w:p>
    <w:p w:rsidR="00B51B0A" w:rsidRDefault="00B51B0A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B51B0A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Choice of venue provision in registry agreements</w:t>
      </w:r>
    </w:p>
    <w:p w:rsidR="00CF1365" w:rsidRPr="00CF1365" w:rsidRDefault="00CF1365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“Status Quo”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(Los Angeles, California (or for governments and IGOs, Geneva, Switzerland))</w:t>
      </w:r>
    </w:p>
    <w:p w:rsidR="00824E03" w:rsidRDefault="00824E03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“Venue Menu” </w:t>
      </w:r>
      <w:r w:rsidR="00CF1365" w:rsidRPr="00CF1365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option</w:t>
      </w:r>
      <w:r w:rsidR="00CF1365" w:rsidRP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– a limited number of choices (e.g., one per region)</w:t>
      </w:r>
      <w:r w:rsid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</w:t>
      </w: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of arbitration venues</w:t>
      </w:r>
      <w:r w:rsidR="00CF1365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 (all applying ICC rules)</w:t>
      </w:r>
    </w:p>
    <w:p w:rsidR="0066691D" w:rsidRDefault="0066691D" w:rsidP="00C23990">
      <w:pPr>
        <w:pStyle w:val="ListParagraph"/>
        <w:numPr>
          <w:ilvl w:val="1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 w:rsidRPr="0066691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How </w:t>
      </w:r>
      <w:r w:rsidR="00C23990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 xml:space="preserve">should </w:t>
      </w:r>
      <w:r w:rsidRPr="0066691D"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these recommendations be framed?</w:t>
      </w:r>
    </w:p>
    <w:p w:rsidR="00C23990" w:rsidRPr="0066691D" w:rsidRDefault="00C23990" w:rsidP="00C23990">
      <w:pPr>
        <w:pStyle w:val="ListParagraph"/>
        <w:numPr>
          <w:ilvl w:val="2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color w:val="1F3864" w:themeColor="accent1" w:themeShade="80"/>
          <w:szCs w:val="24"/>
          <w:lang w:val="en-US"/>
        </w:rPr>
        <w:t>Are these only negotiating points between ICANN and the contracted party?</w:t>
      </w:r>
    </w:p>
    <w:p w:rsidR="0048483B" w:rsidRPr="00361FF2" w:rsidRDefault="0048483B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Review of </w:t>
      </w:r>
      <w:r w:rsidR="0085714E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Revised </w:t>
      </w:r>
      <w:r w:rsidR="009C71C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“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Proposed</w:t>
      </w:r>
      <w:r w:rsidR="000D020F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Issues</w:t>
      </w:r>
      <w:r w:rsidR="009C71C3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”</w:t>
      </w:r>
      <w:r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L</w:t>
      </w:r>
      <w:r w:rsidR="000D020F" w:rsidRP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ist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(5 minutes)</w:t>
      </w:r>
    </w:p>
    <w:p w:rsidR="00C8631A" w:rsidRDefault="00C8631A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Revi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ew of Schedule and Timeline (5 m</w:t>
      </w:r>
      <w:r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inutes)</w:t>
      </w:r>
    </w:p>
    <w:p w:rsidR="00A14BB7" w:rsidRPr="0048483B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AOB</w:t>
      </w:r>
      <w:r w:rsid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(5</w:t>
      </w:r>
      <w:r w:rsidR="00361FF2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m</w:t>
      </w:r>
      <w:r w:rsidR="00A14BB7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inutes)</w:t>
      </w:r>
    </w:p>
    <w:p w:rsidR="00C23990" w:rsidRPr="00C23990" w:rsidRDefault="00AF5DAD" w:rsidP="00C23990">
      <w:pPr>
        <w:pStyle w:val="ListParagraph"/>
        <w:numPr>
          <w:ilvl w:val="0"/>
          <w:numId w:val="20"/>
        </w:numPr>
        <w:shd w:val="clear" w:color="auto" w:fill="FFFFFF"/>
        <w:spacing w:after="120" w:line="240" w:lineRule="auto"/>
        <w:contextualSpacing w:val="0"/>
        <w:rPr>
          <w:rFonts w:asciiTheme="minorHAnsi" w:hAnsiTheme="minorHAnsi" w:cstheme="minorHAnsi"/>
          <w:color w:val="1F3864" w:themeColor="accent1" w:themeShade="80"/>
          <w:szCs w:val="24"/>
        </w:rPr>
      </w:pPr>
      <w:r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Adjourn</w:t>
      </w:r>
      <w:r w:rsidR="00DC4FE1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(next meeting </w:t>
      </w:r>
      <w:r w:rsidR="0010049C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27</w:t>
      </w:r>
      <w:r w:rsidR="000D020F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September</w:t>
      </w:r>
      <w:r w:rsidR="00C8631A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 xml:space="preserve"> 19</w:t>
      </w:r>
      <w:r w:rsidR="00A14BB7" w:rsidRPr="0048483B">
        <w:rPr>
          <w:rFonts w:asciiTheme="minorHAnsi" w:eastAsia="Times New Roman" w:hAnsiTheme="minorHAnsi" w:cstheme="minorHAnsi"/>
          <w:b/>
          <w:color w:val="1F3864" w:themeColor="accent1" w:themeShade="80"/>
          <w:szCs w:val="24"/>
          <w:lang w:val="en-US"/>
        </w:rPr>
        <w:t>00UTC)</w:t>
      </w:r>
    </w:p>
    <w:sectPr w:rsidR="00C23990" w:rsidRPr="00C23990" w:rsidSect="00C23990">
      <w:pgSz w:w="12240" w:h="15840"/>
      <w:pgMar w:top="900" w:right="180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1EB"/>
    <w:multiLevelType w:val="hybridMultilevel"/>
    <w:tmpl w:val="888A9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0469B"/>
    <w:multiLevelType w:val="multilevel"/>
    <w:tmpl w:val="1AAED8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F65AF4"/>
    <w:multiLevelType w:val="hybridMultilevel"/>
    <w:tmpl w:val="350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211B8"/>
    <w:multiLevelType w:val="hybridMultilevel"/>
    <w:tmpl w:val="EDD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276D8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2C0F37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1C120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475B0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5E53FC"/>
    <w:multiLevelType w:val="multilevel"/>
    <w:tmpl w:val="4D3ED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3185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EE0E41"/>
    <w:multiLevelType w:val="hybridMultilevel"/>
    <w:tmpl w:val="15E4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352C1"/>
    <w:multiLevelType w:val="multilevel"/>
    <w:tmpl w:val="1EB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C3466"/>
    <w:multiLevelType w:val="hybridMultilevel"/>
    <w:tmpl w:val="BAE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762FB"/>
    <w:multiLevelType w:val="multilevel"/>
    <w:tmpl w:val="A8EA93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657CC"/>
    <w:multiLevelType w:val="multilevel"/>
    <w:tmpl w:val="E0D88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1B29E3"/>
    <w:multiLevelType w:val="hybridMultilevel"/>
    <w:tmpl w:val="66C0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4"/>
  </w:num>
  <w:num w:numId="5">
    <w:abstractNumId w:val="17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16"/>
  </w:num>
  <w:num w:numId="13">
    <w:abstractNumId w:val="6"/>
  </w:num>
  <w:num w:numId="14">
    <w:abstractNumId w:val="5"/>
  </w:num>
  <w:num w:numId="15">
    <w:abstractNumId w:val="15"/>
  </w:num>
  <w:num w:numId="16">
    <w:abstractNumId w:val="14"/>
  </w:num>
  <w:num w:numId="17">
    <w:abstractNumId w:val="12"/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E4"/>
    <w:rsid w:val="000325F6"/>
    <w:rsid w:val="000445B2"/>
    <w:rsid w:val="00047BC3"/>
    <w:rsid w:val="00051A8D"/>
    <w:rsid w:val="00072305"/>
    <w:rsid w:val="00093335"/>
    <w:rsid w:val="000C0043"/>
    <w:rsid w:val="000D020F"/>
    <w:rsid w:val="0010049C"/>
    <w:rsid w:val="00150798"/>
    <w:rsid w:val="00167D09"/>
    <w:rsid w:val="00175B7C"/>
    <w:rsid w:val="001F1FAD"/>
    <w:rsid w:val="0020596D"/>
    <w:rsid w:val="002703A4"/>
    <w:rsid w:val="00281319"/>
    <w:rsid w:val="002A05C0"/>
    <w:rsid w:val="002C18E2"/>
    <w:rsid w:val="002C6D8A"/>
    <w:rsid w:val="002C7D17"/>
    <w:rsid w:val="002F192F"/>
    <w:rsid w:val="002F1D9C"/>
    <w:rsid w:val="0032008F"/>
    <w:rsid w:val="003263E4"/>
    <w:rsid w:val="00361FF2"/>
    <w:rsid w:val="00432182"/>
    <w:rsid w:val="00471249"/>
    <w:rsid w:val="004760EB"/>
    <w:rsid w:val="004831E0"/>
    <w:rsid w:val="0048483B"/>
    <w:rsid w:val="00495975"/>
    <w:rsid w:val="004A4AD2"/>
    <w:rsid w:val="004F2A9E"/>
    <w:rsid w:val="005075B7"/>
    <w:rsid w:val="00515428"/>
    <w:rsid w:val="0052715F"/>
    <w:rsid w:val="00543BFA"/>
    <w:rsid w:val="005642B4"/>
    <w:rsid w:val="00571519"/>
    <w:rsid w:val="00573C9E"/>
    <w:rsid w:val="00590CA4"/>
    <w:rsid w:val="005A436A"/>
    <w:rsid w:val="005B2478"/>
    <w:rsid w:val="005F0CFA"/>
    <w:rsid w:val="005F4889"/>
    <w:rsid w:val="0064504A"/>
    <w:rsid w:val="00656A3C"/>
    <w:rsid w:val="0066691D"/>
    <w:rsid w:val="006735D4"/>
    <w:rsid w:val="00696078"/>
    <w:rsid w:val="006F5AC8"/>
    <w:rsid w:val="00765822"/>
    <w:rsid w:val="0077011E"/>
    <w:rsid w:val="00800EE8"/>
    <w:rsid w:val="008074EA"/>
    <w:rsid w:val="008203CC"/>
    <w:rsid w:val="00824E03"/>
    <w:rsid w:val="008553B4"/>
    <w:rsid w:val="0085714E"/>
    <w:rsid w:val="0093189D"/>
    <w:rsid w:val="00950C14"/>
    <w:rsid w:val="00991700"/>
    <w:rsid w:val="009B3C1F"/>
    <w:rsid w:val="009B539C"/>
    <w:rsid w:val="009C71C3"/>
    <w:rsid w:val="009E2DA3"/>
    <w:rsid w:val="009E4027"/>
    <w:rsid w:val="00A02AC7"/>
    <w:rsid w:val="00A14BB7"/>
    <w:rsid w:val="00A168A9"/>
    <w:rsid w:val="00A24F8E"/>
    <w:rsid w:val="00A52B60"/>
    <w:rsid w:val="00A569E7"/>
    <w:rsid w:val="00A70E5C"/>
    <w:rsid w:val="00A74CB1"/>
    <w:rsid w:val="00AC0F68"/>
    <w:rsid w:val="00AF5DAD"/>
    <w:rsid w:val="00B51B0A"/>
    <w:rsid w:val="00B52B7A"/>
    <w:rsid w:val="00B816BD"/>
    <w:rsid w:val="00C23990"/>
    <w:rsid w:val="00C415FC"/>
    <w:rsid w:val="00C846A6"/>
    <w:rsid w:val="00C8631A"/>
    <w:rsid w:val="00CB724B"/>
    <w:rsid w:val="00CC20C0"/>
    <w:rsid w:val="00CF1365"/>
    <w:rsid w:val="00CF1CCB"/>
    <w:rsid w:val="00D55D2D"/>
    <w:rsid w:val="00DB7C68"/>
    <w:rsid w:val="00DC4FE1"/>
    <w:rsid w:val="00E04076"/>
    <w:rsid w:val="00E07608"/>
    <w:rsid w:val="00E12FF2"/>
    <w:rsid w:val="00E16C44"/>
    <w:rsid w:val="00E658E5"/>
    <w:rsid w:val="00EC3B19"/>
    <w:rsid w:val="00EE1541"/>
    <w:rsid w:val="00EF5EFC"/>
    <w:rsid w:val="00F06AFE"/>
    <w:rsid w:val="00F30514"/>
    <w:rsid w:val="00FD6963"/>
    <w:rsid w:val="00FD7D4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T-Normal"/>
    <w:qFormat/>
    <w:rsid w:val="00C846A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E4"/>
    <w:pPr>
      <w:ind w:left="720"/>
      <w:contextualSpacing/>
    </w:pPr>
  </w:style>
  <w:style w:type="character" w:customStyle="1" w:styleId="s1">
    <w:name w:val="s1"/>
    <w:basedOn w:val="DefaultParagraphFont"/>
    <w:rsid w:val="00C846A6"/>
  </w:style>
  <w:style w:type="character" w:customStyle="1" w:styleId="apple-converted-space">
    <w:name w:val="apple-converted-space"/>
    <w:basedOn w:val="DefaultParagraphFont"/>
    <w:rsid w:val="00C846A6"/>
  </w:style>
  <w:style w:type="character" w:styleId="CommentReference">
    <w:name w:val="annotation reference"/>
    <w:basedOn w:val="DefaultParagraphFont"/>
    <w:uiPriority w:val="99"/>
    <w:semiHidden/>
    <w:unhideWhenUsed/>
    <w:rsid w:val="0009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35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35"/>
    <w:rPr>
      <w:rFonts w:ascii="Times New Roman" w:hAnsi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35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rsid w:val="005715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02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8E5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5642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15B4-F93E-46D2-85A9-39F70AF5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Greg Shatan</cp:lastModifiedBy>
  <cp:revision>2</cp:revision>
  <cp:lastPrinted>2017-05-16T02:09:00Z</cp:lastPrinted>
  <dcterms:created xsi:type="dcterms:W3CDTF">2017-09-27T03:41:00Z</dcterms:created>
  <dcterms:modified xsi:type="dcterms:W3CDTF">2017-09-27T03:41:00Z</dcterms:modified>
</cp:coreProperties>
</file>