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F6" w:rsidRPr="004163C8" w:rsidRDefault="00B62388" w:rsidP="00B62388">
      <w:pPr>
        <w:spacing w:after="240"/>
        <w:jc w:val="center"/>
        <w:rPr>
          <w:rFonts w:cs="Arial"/>
          <w:b/>
          <w:sz w:val="22"/>
          <w:szCs w:val="22"/>
        </w:rPr>
      </w:pPr>
      <w:r>
        <w:rPr>
          <w:rFonts w:cs="Arial"/>
          <w:b/>
          <w:sz w:val="22"/>
          <w:szCs w:val="22"/>
        </w:rPr>
        <w:t>PROPOSALS FOR JURISDICTION SUBGROUP QUESTIONNAIRE</w:t>
      </w:r>
    </w:p>
    <w:tbl>
      <w:tblPr>
        <w:tblStyle w:val="TableGrid"/>
        <w:tblW w:w="0" w:type="auto"/>
        <w:tblLook w:val="04A0" w:firstRow="1" w:lastRow="0" w:firstColumn="1" w:lastColumn="0" w:noHBand="0" w:noVBand="1"/>
      </w:tblPr>
      <w:tblGrid>
        <w:gridCol w:w="3377"/>
        <w:gridCol w:w="3355"/>
        <w:gridCol w:w="2844"/>
      </w:tblGrid>
      <w:tr w:rsidR="00586ACE" w:rsidRPr="002263AD" w:rsidTr="00586ACE">
        <w:trPr>
          <w:trHeight w:val="386"/>
          <w:tblHeader/>
        </w:trPr>
        <w:tc>
          <w:tcPr>
            <w:tcW w:w="3377" w:type="dxa"/>
            <w:shd w:val="clear" w:color="auto" w:fill="FBD4B4" w:themeFill="accent6" w:themeFillTint="66"/>
          </w:tcPr>
          <w:p w:rsidR="00586ACE" w:rsidRPr="002263AD" w:rsidRDefault="00586ACE" w:rsidP="00793ED1">
            <w:pPr>
              <w:spacing w:after="120"/>
              <w:rPr>
                <w:rFonts w:cs="Arial"/>
                <w:b/>
                <w:sz w:val="20"/>
                <w:szCs w:val="20"/>
              </w:rPr>
            </w:pPr>
            <w:r>
              <w:rPr>
                <w:rFonts w:cs="Arial"/>
                <w:b/>
                <w:sz w:val="20"/>
                <w:szCs w:val="20"/>
              </w:rPr>
              <w:t>Current Proposal</w:t>
            </w:r>
          </w:p>
        </w:tc>
        <w:tc>
          <w:tcPr>
            <w:tcW w:w="3355" w:type="dxa"/>
            <w:shd w:val="clear" w:color="auto" w:fill="FBD4B4" w:themeFill="accent6" w:themeFillTint="66"/>
          </w:tcPr>
          <w:p w:rsidR="00586ACE" w:rsidRPr="002263AD" w:rsidRDefault="00586ACE" w:rsidP="00793ED1">
            <w:pPr>
              <w:spacing w:after="120"/>
              <w:rPr>
                <w:rFonts w:cs="Arial"/>
                <w:b/>
                <w:sz w:val="20"/>
                <w:szCs w:val="20"/>
              </w:rPr>
            </w:pPr>
            <w:r>
              <w:rPr>
                <w:rFonts w:cs="Arial"/>
                <w:b/>
                <w:sz w:val="20"/>
                <w:szCs w:val="20"/>
              </w:rPr>
              <w:t>Alternative Formulations (from emails &amp; meetings)</w:t>
            </w:r>
          </w:p>
        </w:tc>
        <w:tc>
          <w:tcPr>
            <w:tcW w:w="2844" w:type="dxa"/>
            <w:shd w:val="clear" w:color="auto" w:fill="FBD4B4" w:themeFill="accent6" w:themeFillTint="66"/>
          </w:tcPr>
          <w:p w:rsidR="00586ACE" w:rsidRDefault="00586ACE" w:rsidP="00793ED1">
            <w:pPr>
              <w:spacing w:after="120"/>
              <w:rPr>
                <w:rFonts w:cs="Arial"/>
                <w:b/>
                <w:sz w:val="20"/>
                <w:szCs w:val="20"/>
              </w:rPr>
            </w:pPr>
            <w:r>
              <w:rPr>
                <w:rFonts w:cs="Arial"/>
                <w:b/>
                <w:sz w:val="20"/>
                <w:szCs w:val="20"/>
              </w:rPr>
              <w:t>Subgroup Comments</w:t>
            </w:r>
          </w:p>
        </w:tc>
      </w:tr>
      <w:tr w:rsidR="00586ACE" w:rsidRPr="002263AD" w:rsidTr="00586ACE">
        <w:trPr>
          <w:trHeight w:val="3248"/>
        </w:trPr>
        <w:tc>
          <w:tcPr>
            <w:tcW w:w="3377" w:type="dxa"/>
          </w:tcPr>
          <w:p w:rsidR="00586ACE" w:rsidRPr="002263AD" w:rsidRDefault="00586ACE" w:rsidP="00793ED1">
            <w:pPr>
              <w:spacing w:after="120"/>
              <w:rPr>
                <w:rFonts w:cs="Arial"/>
                <w:sz w:val="20"/>
                <w:szCs w:val="20"/>
              </w:rPr>
            </w:pPr>
            <w:r w:rsidRPr="002263AD">
              <w:rPr>
                <w:rFonts w:cs="Arial"/>
                <w:b/>
                <w:sz w:val="20"/>
                <w:szCs w:val="20"/>
              </w:rPr>
              <w:t>Proposed Preamble</w:t>
            </w:r>
          </w:p>
          <w:p w:rsidR="00586ACE" w:rsidRPr="002263AD" w:rsidRDefault="00586ACE" w:rsidP="00793ED1">
            <w:pPr>
              <w:spacing w:after="120"/>
              <w:rPr>
                <w:rFonts w:cs="Arial"/>
                <w:sz w:val="20"/>
                <w:szCs w:val="20"/>
              </w:rPr>
            </w:pPr>
            <w:r w:rsidRPr="002263AD">
              <w:rPr>
                <w:rFonts w:cs="Arial"/>
                <w:sz w:val="20"/>
                <w:szCs w:val="20"/>
              </w:rPr>
              <w:t>The newly-adopted ICANN bylaws created several Work Stream 2 accountability subgroups. One of them, the subgroup on Jurisdiction, is posing the questions below for community input into the subgroup’s deliberations.</w:t>
            </w:r>
          </w:p>
          <w:p w:rsidR="00586ACE" w:rsidRPr="002263AD" w:rsidRDefault="00586ACE" w:rsidP="00793ED1">
            <w:pPr>
              <w:spacing w:after="120"/>
              <w:rPr>
                <w:rFonts w:cs="Helvetica"/>
                <w:sz w:val="20"/>
                <w:szCs w:val="20"/>
                <w:shd w:val="clear" w:color="auto" w:fill="FFFFFF"/>
              </w:rPr>
            </w:pPr>
            <w:r w:rsidRPr="002263AD">
              <w:rPr>
                <w:rFonts w:cs="Helvetica"/>
                <w:sz w:val="20"/>
                <w:szCs w:val="20"/>
                <w:shd w:val="clear" w:color="auto" w:fill="FFFFFF"/>
              </w:rPr>
              <w:t>As directed by Bylaw Article 27, Section 27.1(b</w:t>
            </w:r>
            <w:proofErr w:type="gramStart"/>
            <w:r w:rsidRPr="002263AD">
              <w:rPr>
                <w:rFonts w:cs="Helvetica"/>
                <w:sz w:val="20"/>
                <w:szCs w:val="20"/>
                <w:shd w:val="clear" w:color="auto" w:fill="FFFFFF"/>
              </w:rPr>
              <w:t>)(</w:t>
            </w:r>
            <w:proofErr w:type="gramEnd"/>
            <w:r w:rsidRPr="002263AD">
              <w:rPr>
                <w:rFonts w:cs="Helvetica"/>
                <w:sz w:val="20"/>
                <w:szCs w:val="20"/>
                <w:shd w:val="clear" w:color="auto" w:fill="FFFFFF"/>
              </w:rPr>
              <w:t xml:space="preserve">vi) and to the extent set forth in the CCWG-Accountability </w:t>
            </w:r>
            <w:hyperlink r:id="rId8" w:history="1">
              <w:r w:rsidRPr="002263AD">
                <w:rPr>
                  <w:rStyle w:val="Hyperlink"/>
                  <w:rFonts w:cs="Arial"/>
                  <w:color w:val="1F497D" w:themeColor="text2"/>
                  <w:sz w:val="20"/>
                  <w:szCs w:val="20"/>
                </w:rPr>
                <w:t>Final Report</w:t>
              </w:r>
            </w:hyperlink>
            <w:r w:rsidRPr="002263AD">
              <w:rPr>
                <w:rFonts w:cs="Helvetica"/>
                <w:sz w:val="20"/>
                <w:szCs w:val="20"/>
                <w:shd w:val="clear" w:color="auto" w:fill="FFFFFF"/>
              </w:rPr>
              <w:t>, the Jurisdiction subgroup is addressing jurisdiction-related questions, including how choice of jurisdiction and applicable laws for dispute settlement impact</w:t>
            </w:r>
            <w:r w:rsidRPr="002263AD">
              <w:rPr>
                <w:rStyle w:val="apple-converted-space"/>
                <w:rFonts w:cs="Helvetica"/>
                <w:sz w:val="20"/>
                <w:szCs w:val="20"/>
                <w:shd w:val="clear" w:color="auto" w:fill="FFFFFF"/>
              </w:rPr>
              <w:t> </w:t>
            </w:r>
            <w:r w:rsidRPr="002263AD">
              <w:rPr>
                <w:sz w:val="20"/>
                <w:szCs w:val="20"/>
              </w:rPr>
              <w:t>ICANN</w:t>
            </w:r>
            <w:r w:rsidRPr="002263AD">
              <w:rPr>
                <w:rFonts w:cs="Helvetica"/>
                <w:sz w:val="20"/>
                <w:szCs w:val="20"/>
                <w:shd w:val="clear" w:color="auto" w:fill="FFFFFF"/>
              </w:rPr>
              <w:t>'s accountability.</w:t>
            </w:r>
          </w:p>
          <w:p w:rsidR="00586ACE" w:rsidRPr="002263AD" w:rsidRDefault="00586ACE" w:rsidP="00793ED1">
            <w:pPr>
              <w:spacing w:after="120"/>
              <w:rPr>
                <w:rFonts w:cs="Arial"/>
                <w:sz w:val="20"/>
                <w:szCs w:val="20"/>
              </w:rPr>
            </w:pPr>
            <w:r w:rsidRPr="002263AD">
              <w:rPr>
                <w:rFonts w:cs="Helvetica"/>
                <w:sz w:val="20"/>
                <w:szCs w:val="20"/>
                <w:shd w:val="clear" w:color="auto" w:fill="FFFFFF"/>
              </w:rPr>
              <w:t xml:space="preserve">As further background, the CCWG Accountability tasked this subgroup with </w:t>
            </w:r>
            <w:r w:rsidRPr="002263AD">
              <w:rPr>
                <w:rFonts w:cs="Arial"/>
                <w:sz w:val="20"/>
                <w:szCs w:val="20"/>
              </w:rPr>
              <w:t xml:space="preserve">addressing questions focused on jurisdiction of contracts and dispute settlements (Final Report, paragraph 06). </w:t>
            </w:r>
          </w:p>
          <w:p w:rsidR="00586ACE" w:rsidRPr="002263AD" w:rsidRDefault="00586ACE" w:rsidP="00793ED1">
            <w:pPr>
              <w:spacing w:after="120"/>
              <w:rPr>
                <w:rFonts w:cs="Arial"/>
                <w:sz w:val="20"/>
                <w:szCs w:val="20"/>
              </w:rPr>
            </w:pPr>
            <w:r w:rsidRPr="002263AD">
              <w:rPr>
                <w:rFonts w:cs="Arial"/>
                <w:sz w:val="20"/>
                <w:szCs w:val="20"/>
              </w:rPr>
              <w:t>Specifically, it asked the subgroup to engage in:</w:t>
            </w:r>
          </w:p>
          <w:p w:rsidR="00586ACE" w:rsidRPr="002263AD" w:rsidRDefault="00586ACE" w:rsidP="00793ED1">
            <w:pPr>
              <w:spacing w:after="120"/>
              <w:rPr>
                <w:sz w:val="20"/>
                <w:szCs w:val="20"/>
              </w:rPr>
            </w:pPr>
            <w:r w:rsidRPr="002263AD">
              <w:rPr>
                <w:i/>
                <w:sz w:val="20"/>
                <w:szCs w:val="20"/>
              </w:rPr>
              <w:t xml:space="preserve">Addressing jurisdiction-related questions, namely: “Can ICANN’s accountability be enhanced depending on the laws applicable to its actions?” The CCWG-Accountability anticipates focusing on the question of applicable law for contracts and dispute settlements. </w:t>
            </w:r>
            <w:r w:rsidRPr="002263AD">
              <w:rPr>
                <w:sz w:val="20"/>
                <w:szCs w:val="20"/>
              </w:rPr>
              <w:t>[Final Report, paragraph 234]</w:t>
            </w:r>
          </w:p>
          <w:p w:rsidR="00586ACE" w:rsidRPr="002263AD" w:rsidRDefault="00586ACE" w:rsidP="00793ED1">
            <w:pPr>
              <w:spacing w:after="120"/>
              <w:rPr>
                <w:rFonts w:cs="Arial"/>
                <w:sz w:val="20"/>
                <w:szCs w:val="20"/>
              </w:rPr>
            </w:pPr>
            <w:r w:rsidRPr="002263AD">
              <w:rPr>
                <w:rFonts w:cs="Arial"/>
                <w:sz w:val="20"/>
                <w:szCs w:val="20"/>
              </w:rPr>
              <w:t xml:space="preserve">The subgroup’s remit is more particularly described in Final Report, </w:t>
            </w:r>
            <w:hyperlink r:id="rId9" w:history="1">
              <w:r w:rsidRPr="002263AD">
                <w:rPr>
                  <w:rStyle w:val="Hyperlink"/>
                  <w:rFonts w:cs="Arial"/>
                  <w:color w:val="1F497D" w:themeColor="text2"/>
                  <w:sz w:val="20"/>
                  <w:szCs w:val="20"/>
                </w:rPr>
                <w:t>Annex 12</w:t>
              </w:r>
            </w:hyperlink>
            <w:r w:rsidRPr="002263AD">
              <w:rPr>
                <w:rFonts w:cs="Arial"/>
                <w:sz w:val="20"/>
                <w:szCs w:val="20"/>
              </w:rPr>
              <w:t xml:space="preserve">, </w:t>
            </w:r>
            <w:proofErr w:type="gramStart"/>
            <w:r w:rsidRPr="002263AD">
              <w:rPr>
                <w:rFonts w:cs="Arial"/>
                <w:sz w:val="20"/>
                <w:szCs w:val="20"/>
              </w:rPr>
              <w:t>paragraphs</w:t>
            </w:r>
            <w:proofErr w:type="gramEnd"/>
            <w:r w:rsidRPr="002263AD">
              <w:rPr>
                <w:rFonts w:cs="Arial"/>
                <w:sz w:val="20"/>
                <w:szCs w:val="20"/>
              </w:rPr>
              <w:t xml:space="preserve"> 25 through31.  </w:t>
            </w:r>
          </w:p>
          <w:p w:rsidR="00586ACE" w:rsidRPr="002263AD" w:rsidRDefault="00586ACE" w:rsidP="00793ED1">
            <w:pPr>
              <w:spacing w:after="120"/>
              <w:rPr>
                <w:rFonts w:cs="Arial"/>
                <w:sz w:val="20"/>
                <w:szCs w:val="20"/>
              </w:rPr>
            </w:pPr>
            <w:r w:rsidRPr="002263AD">
              <w:rPr>
                <w:rFonts w:cs="Arial"/>
                <w:sz w:val="20"/>
                <w:szCs w:val="20"/>
              </w:rPr>
              <w:t xml:space="preserve">To help the subgroup in these endeavors we are asking you to consider and respond to the following specific questions. </w:t>
            </w:r>
            <w:r w:rsidRPr="002263AD">
              <w:rPr>
                <w:sz w:val="20"/>
                <w:szCs w:val="20"/>
              </w:rPr>
              <w:t>In this regard, the subgroup is asking for concrete, factual submissions (positive, negative, or neutral) that will help ensure that the subgroup’s deliberations are informed, fact-</w:t>
            </w:r>
            <w:r w:rsidRPr="002263AD">
              <w:rPr>
                <w:sz w:val="20"/>
                <w:szCs w:val="20"/>
              </w:rPr>
              <w:lastRenderedPageBreak/>
              <w:t xml:space="preserve">based, and address real issues. The subgroup is interested in all types of jurisdiction-related factual experiences, not just those involving actual disputes/court cases.   </w:t>
            </w:r>
          </w:p>
        </w:tc>
        <w:tc>
          <w:tcPr>
            <w:tcW w:w="3355" w:type="dxa"/>
          </w:tcPr>
          <w:p w:rsidR="00586ACE" w:rsidRPr="00892484" w:rsidRDefault="00586ACE" w:rsidP="00892484">
            <w:pPr>
              <w:spacing w:after="120"/>
              <w:rPr>
                <w:rFonts w:cs="Arial"/>
                <w:b/>
                <w:sz w:val="20"/>
                <w:szCs w:val="20"/>
              </w:rPr>
            </w:pPr>
            <w:r>
              <w:rPr>
                <w:rFonts w:cs="Arial"/>
                <w:b/>
                <w:sz w:val="20"/>
                <w:szCs w:val="20"/>
              </w:rPr>
              <w:lastRenderedPageBreak/>
              <w:t>Alternative 1 (</w:t>
            </w:r>
            <w:r w:rsidRPr="00892484">
              <w:rPr>
                <w:rFonts w:cs="Arial"/>
                <w:b/>
                <w:sz w:val="20"/>
                <w:szCs w:val="20"/>
              </w:rPr>
              <w:t xml:space="preserve">from </w:t>
            </w:r>
            <w:r>
              <w:rPr>
                <w:rFonts w:cs="Arial"/>
                <w:b/>
                <w:sz w:val="20"/>
                <w:szCs w:val="20"/>
              </w:rPr>
              <w:t>last subgroup m</w:t>
            </w:r>
            <w:r w:rsidRPr="00892484">
              <w:rPr>
                <w:rFonts w:cs="Arial"/>
                <w:b/>
                <w:sz w:val="20"/>
                <w:szCs w:val="20"/>
              </w:rPr>
              <w:t>eeting #14</w:t>
            </w:r>
            <w:r>
              <w:rPr>
                <w:rFonts w:cs="Arial"/>
                <w:b/>
                <w:sz w:val="20"/>
                <w:szCs w:val="20"/>
              </w:rPr>
              <w:t xml:space="preserve">) </w:t>
            </w:r>
            <w:r>
              <w:rPr>
                <w:rFonts w:cs="Arial"/>
                <w:sz w:val="20"/>
                <w:szCs w:val="20"/>
              </w:rPr>
              <w:t>(use only first 2 paragraphs and last paragraph)</w:t>
            </w:r>
            <w:r w:rsidRPr="00892484">
              <w:rPr>
                <w:rFonts w:cs="Arial"/>
                <w:b/>
                <w:sz w:val="20"/>
                <w:szCs w:val="20"/>
              </w:rPr>
              <w:t xml:space="preserve">:  </w:t>
            </w:r>
          </w:p>
          <w:p w:rsidR="00586ACE" w:rsidRPr="00892484" w:rsidRDefault="00586ACE" w:rsidP="00892484">
            <w:pPr>
              <w:spacing w:after="120"/>
              <w:rPr>
                <w:rFonts w:cs="Arial"/>
                <w:sz w:val="20"/>
                <w:szCs w:val="20"/>
              </w:rPr>
            </w:pPr>
            <w:r w:rsidRPr="00892484">
              <w:rPr>
                <w:rFonts w:cs="Arial"/>
                <w:sz w:val="20"/>
                <w:szCs w:val="20"/>
              </w:rPr>
              <w:t>The newly-adopted ICANN bylaws created several Work Stream 2 accountability subgroups. One of them, the subgroup on Jurisdiction, is posing the questions below for community input into the subgroup’s deliberations.</w:t>
            </w:r>
          </w:p>
          <w:p w:rsidR="00586ACE" w:rsidRDefault="00586ACE" w:rsidP="00892484">
            <w:pPr>
              <w:spacing w:after="120"/>
              <w:rPr>
                <w:rFonts w:cs="Arial"/>
                <w:sz w:val="20"/>
                <w:szCs w:val="20"/>
              </w:rPr>
            </w:pPr>
            <w:r w:rsidRPr="00892484">
              <w:rPr>
                <w:rFonts w:cs="Arial"/>
                <w:sz w:val="20"/>
                <w:szCs w:val="20"/>
              </w:rPr>
              <w:t>As directed by Bylaw Article 27, Section 27.1(b</w:t>
            </w:r>
            <w:proofErr w:type="gramStart"/>
            <w:r w:rsidRPr="00892484">
              <w:rPr>
                <w:rFonts w:cs="Arial"/>
                <w:sz w:val="20"/>
                <w:szCs w:val="20"/>
              </w:rPr>
              <w:t>)(</w:t>
            </w:r>
            <w:proofErr w:type="gramEnd"/>
            <w:r w:rsidRPr="00892484">
              <w:rPr>
                <w:rFonts w:cs="Arial"/>
                <w:sz w:val="20"/>
                <w:szCs w:val="20"/>
              </w:rPr>
              <w:t xml:space="preserve">vi) and to the extent set forth in the CCWG-Accountability </w:t>
            </w:r>
            <w:hyperlink r:id="rId10" w:history="1">
              <w:r w:rsidRPr="00892484">
                <w:rPr>
                  <w:rStyle w:val="Hyperlink"/>
                  <w:rFonts w:cs="Arial"/>
                  <w:sz w:val="20"/>
                  <w:szCs w:val="20"/>
                </w:rPr>
                <w:t>Final Report</w:t>
              </w:r>
            </w:hyperlink>
            <w:r w:rsidRPr="00892484">
              <w:rPr>
                <w:rFonts w:cs="Arial"/>
                <w:sz w:val="20"/>
                <w:szCs w:val="20"/>
              </w:rPr>
              <w:t>, the Jurisdiction subgroup is addressing jurisdiction-related questions, including how choice of jurisdiction and applicable laws for dispute settlement impact ICANN's accountability.</w:t>
            </w:r>
          </w:p>
          <w:p w:rsidR="006F406E" w:rsidRPr="006F406E" w:rsidRDefault="006F406E" w:rsidP="00892484">
            <w:pPr>
              <w:spacing w:after="120"/>
              <w:rPr>
                <w:rFonts w:cs="Arial"/>
                <w:b/>
                <w:color w:val="FF0000"/>
                <w:sz w:val="20"/>
                <w:szCs w:val="20"/>
              </w:rPr>
            </w:pPr>
            <w:r w:rsidRPr="006F406E">
              <w:rPr>
                <w:rFonts w:cs="Arial"/>
                <w:b/>
                <w:color w:val="FF0000"/>
                <w:sz w:val="20"/>
                <w:szCs w:val="20"/>
              </w:rPr>
              <w:t>^</w:t>
            </w:r>
          </w:p>
          <w:p w:rsidR="00586ACE" w:rsidRPr="00892484" w:rsidRDefault="00586ACE" w:rsidP="00892484">
            <w:pPr>
              <w:spacing w:after="120"/>
              <w:rPr>
                <w:rFonts w:cs="Arial"/>
                <w:sz w:val="20"/>
                <w:szCs w:val="20"/>
              </w:rPr>
            </w:pPr>
            <w:r w:rsidRPr="00892484">
              <w:rPr>
                <w:rFonts w:cs="Arial"/>
                <w:sz w:val="20"/>
                <w:szCs w:val="20"/>
              </w:rPr>
              <w:t>To help the subgroup in these endeavors we are asking you to consider and respond to the following specific questions. In this regard, the subgroup is asking for concrete, factual submissions (positive, negative, or neutral) that will help ensure that the subgroup’s deliberations are informed, fact-based, and address real issues. The subgroup is interested in all types of jurisdiction-related factual experiences, not just those involving actual disputes/court cases.</w:t>
            </w:r>
          </w:p>
          <w:p w:rsidR="00586ACE" w:rsidRPr="00F71D15" w:rsidRDefault="00586ACE" w:rsidP="00F62BE6">
            <w:pPr>
              <w:spacing w:after="120"/>
              <w:rPr>
                <w:rFonts w:cs="Arial"/>
                <w:sz w:val="20"/>
                <w:szCs w:val="20"/>
              </w:rPr>
            </w:pPr>
            <w:r>
              <w:rPr>
                <w:rFonts w:cs="Arial"/>
                <w:b/>
                <w:sz w:val="20"/>
                <w:szCs w:val="20"/>
              </w:rPr>
              <w:t xml:space="preserve">Alternatives 2 &amp; 3 </w:t>
            </w:r>
            <w:r>
              <w:rPr>
                <w:rFonts w:cs="Arial"/>
                <w:sz w:val="20"/>
                <w:szCs w:val="20"/>
              </w:rPr>
              <w:t>are based on an objection contending that the Preamble mentions only one part of the group’s “mandate”:</w:t>
            </w:r>
          </w:p>
          <w:p w:rsidR="00586ACE" w:rsidRDefault="00586ACE" w:rsidP="00F62BE6">
            <w:pPr>
              <w:spacing w:after="120"/>
              <w:rPr>
                <w:rFonts w:cs="Arial"/>
                <w:sz w:val="20"/>
                <w:szCs w:val="20"/>
              </w:rPr>
            </w:pPr>
            <w:r>
              <w:rPr>
                <w:rFonts w:cs="Arial"/>
                <w:b/>
                <w:sz w:val="20"/>
                <w:szCs w:val="20"/>
              </w:rPr>
              <w:t>Alternative 2:</w:t>
            </w:r>
            <w:r w:rsidRPr="00892484">
              <w:rPr>
                <w:rFonts w:cs="Arial"/>
                <w:sz w:val="20"/>
                <w:szCs w:val="20"/>
              </w:rPr>
              <w:t xml:space="preserve">  Just mention the</w:t>
            </w:r>
            <w:r>
              <w:rPr>
                <w:rFonts w:cs="Arial"/>
                <w:sz w:val="20"/>
                <w:szCs w:val="20"/>
              </w:rPr>
              <w:t xml:space="preserve"> subgroup’s</w:t>
            </w:r>
            <w:r w:rsidRPr="00892484">
              <w:rPr>
                <w:rFonts w:cs="Arial"/>
                <w:sz w:val="20"/>
                <w:szCs w:val="20"/>
              </w:rPr>
              <w:t xml:space="preserve"> mandate "as descri</w:t>
            </w:r>
            <w:r>
              <w:rPr>
                <w:rFonts w:cs="Arial"/>
                <w:sz w:val="20"/>
                <w:szCs w:val="20"/>
              </w:rPr>
              <w:t>bed in Annex 12" without describing it; Annex 12 can</w:t>
            </w:r>
            <w:r w:rsidRPr="00892484">
              <w:rPr>
                <w:rFonts w:cs="Arial"/>
                <w:sz w:val="20"/>
                <w:szCs w:val="20"/>
              </w:rPr>
              <w:t xml:space="preserve"> then be annexed or linked in to the questionnaire (as in fact it already is)</w:t>
            </w:r>
            <w:r>
              <w:rPr>
                <w:rFonts w:cs="Arial"/>
                <w:sz w:val="20"/>
                <w:szCs w:val="20"/>
              </w:rPr>
              <w:t>.</w:t>
            </w:r>
          </w:p>
          <w:p w:rsidR="00586ACE" w:rsidRPr="00F62BE6" w:rsidRDefault="00586ACE" w:rsidP="00F62BE6">
            <w:pPr>
              <w:spacing w:after="120"/>
              <w:rPr>
                <w:rFonts w:cs="Arial"/>
                <w:sz w:val="20"/>
                <w:szCs w:val="20"/>
              </w:rPr>
            </w:pPr>
            <w:r>
              <w:rPr>
                <w:rFonts w:cs="Arial"/>
                <w:b/>
                <w:sz w:val="20"/>
                <w:szCs w:val="20"/>
              </w:rPr>
              <w:t>Alternative 3:</w:t>
            </w:r>
            <w:r w:rsidRPr="00892484">
              <w:rPr>
                <w:rFonts w:cs="Arial"/>
                <w:sz w:val="20"/>
                <w:szCs w:val="20"/>
              </w:rPr>
              <w:t xml:space="preserve"> </w:t>
            </w:r>
            <w:r>
              <w:rPr>
                <w:rFonts w:cs="Arial"/>
                <w:sz w:val="20"/>
                <w:szCs w:val="20"/>
              </w:rPr>
              <w:t>H</w:t>
            </w:r>
            <w:r w:rsidRPr="00892484">
              <w:rPr>
                <w:rFonts w:cs="Arial"/>
                <w:sz w:val="20"/>
                <w:szCs w:val="20"/>
              </w:rPr>
              <w:t>ave a more balanced set of excerpts</w:t>
            </w:r>
            <w:r>
              <w:rPr>
                <w:rFonts w:cs="Arial"/>
                <w:sz w:val="20"/>
                <w:szCs w:val="20"/>
              </w:rPr>
              <w:t>, rather than</w:t>
            </w:r>
            <w:r w:rsidRPr="00F62BE6">
              <w:rPr>
                <w:rFonts w:cs="Arial"/>
                <w:sz w:val="20"/>
                <w:szCs w:val="20"/>
              </w:rPr>
              <w:t xml:space="preserve"> </w:t>
            </w:r>
            <w:r w:rsidRPr="00F62BE6">
              <w:rPr>
                <w:rFonts w:cs="Arial"/>
                <w:sz w:val="20"/>
                <w:szCs w:val="20"/>
              </w:rPr>
              <w:lastRenderedPageBreak/>
              <w:t>mentioning one part of the group's jurisdiction related mandate and not others. This refers to the following part of the proposed preamble.</w:t>
            </w:r>
          </w:p>
          <w:p w:rsidR="00586ACE" w:rsidRDefault="00586ACE" w:rsidP="00F62BE6">
            <w:pPr>
              <w:spacing w:after="120"/>
              <w:rPr>
                <w:rFonts w:cs="Arial"/>
                <w:sz w:val="20"/>
                <w:szCs w:val="20"/>
              </w:rPr>
            </w:pPr>
            <w:r w:rsidRPr="00F62BE6">
              <w:rPr>
                <w:rFonts w:cs="Arial"/>
                <w:sz w:val="20"/>
                <w:szCs w:val="20"/>
              </w:rPr>
              <w:t>"Specifically, it a</w:t>
            </w:r>
            <w:r>
              <w:rPr>
                <w:rFonts w:cs="Arial"/>
                <w:sz w:val="20"/>
                <w:szCs w:val="20"/>
              </w:rPr>
              <w:t xml:space="preserve">sked the subgroup to engage in: </w:t>
            </w:r>
          </w:p>
          <w:p w:rsidR="00586ACE" w:rsidRPr="00B27BC3" w:rsidRDefault="00586ACE" w:rsidP="00F71D15">
            <w:pPr>
              <w:spacing w:after="120"/>
              <w:rPr>
                <w:rFonts w:cs="Arial"/>
                <w:sz w:val="20"/>
                <w:szCs w:val="20"/>
              </w:rPr>
            </w:pPr>
            <w:r w:rsidRPr="00F71D15">
              <w:rPr>
                <w:rFonts w:cs="Arial"/>
                <w:i/>
                <w:sz w:val="20"/>
                <w:szCs w:val="20"/>
              </w:rPr>
              <w:t>Addressing jurisdiction-related questions, namely: “Can ICANN’s accountability be enhanced depending on the laws applicable to its actions?” The CCWG-Accountability anticipates focusing on the question of applicable law for contracts and dispute settlements.</w:t>
            </w:r>
            <w:r>
              <w:rPr>
                <w:rFonts w:cs="Arial"/>
                <w:sz w:val="20"/>
                <w:szCs w:val="20"/>
              </w:rPr>
              <w:t>”</w:t>
            </w:r>
          </w:p>
        </w:tc>
        <w:tc>
          <w:tcPr>
            <w:tcW w:w="2844" w:type="dxa"/>
          </w:tcPr>
          <w:p w:rsidR="00586ACE" w:rsidRDefault="00586ACE" w:rsidP="00892484">
            <w:pPr>
              <w:spacing w:after="120"/>
              <w:rPr>
                <w:rFonts w:cs="Arial"/>
                <w:b/>
                <w:sz w:val="20"/>
                <w:szCs w:val="20"/>
              </w:rPr>
            </w:pPr>
          </w:p>
        </w:tc>
      </w:tr>
      <w:tr w:rsidR="00586ACE" w:rsidRPr="002263AD" w:rsidTr="00586ACE">
        <w:tc>
          <w:tcPr>
            <w:tcW w:w="3377" w:type="dxa"/>
          </w:tcPr>
          <w:p w:rsidR="00586ACE" w:rsidRPr="002263AD" w:rsidRDefault="00586ACE" w:rsidP="00793ED1">
            <w:pPr>
              <w:spacing w:after="120"/>
              <w:rPr>
                <w:rFonts w:cs="Arial"/>
                <w:b/>
                <w:sz w:val="20"/>
                <w:szCs w:val="20"/>
              </w:rPr>
            </w:pPr>
            <w:r w:rsidRPr="002263AD">
              <w:rPr>
                <w:rFonts w:cs="Arial"/>
                <w:b/>
                <w:sz w:val="20"/>
                <w:szCs w:val="20"/>
              </w:rPr>
              <w:lastRenderedPageBreak/>
              <w:t>Proposed Questions:</w:t>
            </w:r>
          </w:p>
        </w:tc>
        <w:tc>
          <w:tcPr>
            <w:tcW w:w="3355" w:type="dxa"/>
          </w:tcPr>
          <w:p w:rsidR="00586ACE" w:rsidRPr="002263AD" w:rsidRDefault="00586ACE" w:rsidP="00793ED1">
            <w:pPr>
              <w:spacing w:after="120"/>
              <w:rPr>
                <w:rFonts w:cs="Arial"/>
                <w:b/>
                <w:sz w:val="20"/>
                <w:szCs w:val="20"/>
              </w:rPr>
            </w:pPr>
          </w:p>
        </w:tc>
        <w:tc>
          <w:tcPr>
            <w:tcW w:w="2844" w:type="dxa"/>
          </w:tcPr>
          <w:p w:rsidR="00586ACE" w:rsidRPr="002263AD" w:rsidRDefault="00586ACE" w:rsidP="00793ED1">
            <w:pPr>
              <w:spacing w:after="120"/>
              <w:rPr>
                <w:rFonts w:cs="Arial"/>
                <w:b/>
                <w:sz w:val="20"/>
                <w:szCs w:val="20"/>
              </w:rPr>
            </w:pPr>
          </w:p>
        </w:tc>
      </w:tr>
      <w:tr w:rsidR="00586ACE" w:rsidRPr="002263AD" w:rsidTr="00586ACE">
        <w:trPr>
          <w:trHeight w:val="404"/>
        </w:trPr>
        <w:tc>
          <w:tcPr>
            <w:tcW w:w="3377" w:type="dxa"/>
          </w:tcPr>
          <w:p w:rsidR="00586ACE" w:rsidRPr="002263AD" w:rsidRDefault="00586ACE" w:rsidP="00793ED1">
            <w:pPr>
              <w:spacing w:after="120"/>
              <w:rPr>
                <w:rFonts w:cs="Arial"/>
                <w:sz w:val="20"/>
                <w:szCs w:val="20"/>
              </w:rPr>
            </w:pPr>
            <w:r w:rsidRPr="002263AD">
              <w:rPr>
                <w:rFonts w:cs="Arial"/>
                <w:sz w:val="20"/>
                <w:szCs w:val="20"/>
              </w:rPr>
              <w:t>1.</w:t>
            </w:r>
            <w:r>
              <w:rPr>
                <w:rFonts w:cs="Arial"/>
                <w:sz w:val="20"/>
                <w:szCs w:val="20"/>
              </w:rPr>
              <w:t xml:space="preserve">  </w:t>
            </w:r>
            <w:r w:rsidRPr="002263AD">
              <w:rPr>
                <w:rFonts w:cs="Arial"/>
                <w:sz w:val="20"/>
                <w:szCs w:val="20"/>
              </w:rPr>
              <w:t>Has your business, your privacy or your ability to use or purchase DNS-related services been affected by ICANN's jurisdiction* in any way?</w:t>
            </w:r>
          </w:p>
          <w:p w:rsidR="00586ACE" w:rsidRPr="002263AD" w:rsidRDefault="00586ACE" w:rsidP="00793ED1">
            <w:pPr>
              <w:spacing w:after="120"/>
              <w:rPr>
                <w:rFonts w:cs="Arial"/>
                <w:sz w:val="20"/>
                <w:szCs w:val="20"/>
              </w:rPr>
            </w:pPr>
            <w:r w:rsidRPr="002263AD">
              <w:rPr>
                <w:rFonts w:cs="Arial"/>
                <w:sz w:val="20"/>
                <w:szCs w:val="20"/>
              </w:rPr>
              <w:t>If the answer is Yes, please describe specific cases, situations or incidents, including the date, the parties involved, and links to any relevant documents.  Please note that “affected” may refer to positive and/or negative effects.</w:t>
            </w:r>
          </w:p>
        </w:tc>
        <w:tc>
          <w:tcPr>
            <w:tcW w:w="3355" w:type="dxa"/>
          </w:tcPr>
          <w:p w:rsidR="00586ACE" w:rsidRPr="00B27BC3" w:rsidRDefault="00586ACE" w:rsidP="00E50AD9">
            <w:pPr>
              <w:spacing w:after="120"/>
              <w:rPr>
                <w:rFonts w:cstheme="minorHAnsi"/>
                <w:sz w:val="20"/>
                <w:szCs w:val="20"/>
              </w:rPr>
            </w:pPr>
            <w:r w:rsidRPr="00B27BC3">
              <w:rPr>
                <w:rFonts w:cstheme="minorHAnsi"/>
                <w:b/>
                <w:caps/>
                <w:sz w:val="20"/>
                <w:szCs w:val="20"/>
              </w:rPr>
              <w:t>A</w:t>
            </w:r>
            <w:r w:rsidRPr="00B27BC3">
              <w:rPr>
                <w:rFonts w:cstheme="minorHAnsi"/>
                <w:b/>
                <w:sz w:val="20"/>
                <w:szCs w:val="20"/>
              </w:rPr>
              <w:t>lternative 1:</w:t>
            </w:r>
            <w:r>
              <w:rPr>
                <w:rFonts w:cstheme="minorHAnsi"/>
                <w:b/>
                <w:sz w:val="20"/>
                <w:szCs w:val="20"/>
              </w:rPr>
              <w:t xml:space="preserve"> </w:t>
            </w:r>
            <w:r w:rsidRPr="00FB5032">
              <w:rPr>
                <w:rFonts w:cstheme="minorHAnsi"/>
                <w:sz w:val="20"/>
                <w:szCs w:val="20"/>
              </w:rPr>
              <w:t xml:space="preserve">Has your business, your privacy or your ability to use or purchase </w:t>
            </w:r>
            <w:r w:rsidRPr="006F406E">
              <w:rPr>
                <w:rFonts w:cstheme="minorHAnsi"/>
                <w:color w:val="FF0000"/>
                <w:sz w:val="20"/>
                <w:szCs w:val="20"/>
              </w:rPr>
              <w:t>domain name</w:t>
            </w:r>
            <w:r w:rsidRPr="00FB5032">
              <w:rPr>
                <w:rFonts w:cstheme="minorHAnsi"/>
                <w:sz w:val="20"/>
                <w:szCs w:val="20"/>
              </w:rPr>
              <w:t>-related services been affected by ICANN's jurisdiction* in any way?</w:t>
            </w:r>
          </w:p>
          <w:p w:rsidR="00586ACE" w:rsidRPr="002263AD" w:rsidRDefault="00586ACE" w:rsidP="00E50AD9">
            <w:pPr>
              <w:spacing w:after="120"/>
              <w:rPr>
                <w:rFonts w:cs="Arial"/>
                <w:sz w:val="20"/>
                <w:szCs w:val="20"/>
              </w:rPr>
            </w:pPr>
            <w:r>
              <w:rPr>
                <w:rFonts w:cs="Arial"/>
                <w:b/>
                <w:sz w:val="20"/>
                <w:szCs w:val="20"/>
              </w:rPr>
              <w:t xml:space="preserve">Alternative 2: </w:t>
            </w:r>
            <w:r w:rsidRPr="00E50AD9">
              <w:rPr>
                <w:rFonts w:cs="Arial"/>
                <w:sz w:val="20"/>
                <w:szCs w:val="20"/>
              </w:rPr>
              <w:t>Has</w:t>
            </w:r>
            <w:r w:rsidR="006F406E">
              <w:rPr>
                <w:rFonts w:cs="Arial"/>
                <w:sz w:val="20"/>
                <w:szCs w:val="20"/>
              </w:rPr>
              <w:t xml:space="preserve"> </w:t>
            </w:r>
            <w:r w:rsidR="006F406E">
              <w:rPr>
                <w:rFonts w:cs="Arial"/>
                <w:b/>
                <w:color w:val="FF0000"/>
                <w:sz w:val="20"/>
                <w:szCs w:val="20"/>
              </w:rPr>
              <w:t>^</w:t>
            </w:r>
            <w:r>
              <w:rPr>
                <w:rFonts w:cs="Arial"/>
                <w:sz w:val="20"/>
                <w:szCs w:val="20"/>
              </w:rPr>
              <w:t xml:space="preserve"> </w:t>
            </w:r>
            <w:r w:rsidRPr="00E50AD9">
              <w:rPr>
                <w:rFonts w:cs="Arial"/>
                <w:sz w:val="20"/>
                <w:szCs w:val="20"/>
              </w:rPr>
              <w:t xml:space="preserve">your ability to use </w:t>
            </w:r>
            <w:r w:rsidRPr="006F406E">
              <w:rPr>
                <w:rFonts w:cs="Arial"/>
                <w:color w:val="FF0000"/>
                <w:sz w:val="20"/>
                <w:szCs w:val="20"/>
              </w:rPr>
              <w:t>domain name</w:t>
            </w:r>
            <w:r w:rsidRPr="00E50AD9">
              <w:rPr>
                <w:rFonts w:cs="Arial"/>
                <w:sz w:val="20"/>
                <w:szCs w:val="20"/>
              </w:rPr>
              <w:t>-related services been affected by ICANN's jurisdiction</w:t>
            </w:r>
            <w:r>
              <w:rPr>
                <w:rFonts w:cs="Arial"/>
                <w:sz w:val="20"/>
                <w:szCs w:val="20"/>
              </w:rPr>
              <w:t>*</w:t>
            </w:r>
            <w:r w:rsidRPr="00E50AD9">
              <w:rPr>
                <w:rFonts w:cs="Arial"/>
                <w:sz w:val="20"/>
                <w:szCs w:val="20"/>
              </w:rPr>
              <w:t xml:space="preserve"> in any way?</w:t>
            </w:r>
          </w:p>
        </w:tc>
        <w:tc>
          <w:tcPr>
            <w:tcW w:w="2844" w:type="dxa"/>
          </w:tcPr>
          <w:p w:rsidR="00586ACE" w:rsidRPr="00B27BC3" w:rsidRDefault="00586ACE" w:rsidP="00E50AD9">
            <w:pPr>
              <w:spacing w:after="120"/>
              <w:rPr>
                <w:rFonts w:cstheme="minorHAnsi"/>
                <w:b/>
                <w:caps/>
                <w:sz w:val="20"/>
                <w:szCs w:val="20"/>
              </w:rPr>
            </w:pPr>
          </w:p>
        </w:tc>
      </w:tr>
      <w:tr w:rsidR="00586ACE" w:rsidRPr="002263AD" w:rsidTr="00586ACE">
        <w:trPr>
          <w:trHeight w:val="1529"/>
        </w:trPr>
        <w:tc>
          <w:tcPr>
            <w:tcW w:w="3377" w:type="dxa"/>
          </w:tcPr>
          <w:p w:rsidR="00586ACE" w:rsidRPr="002263AD" w:rsidRDefault="00586ACE" w:rsidP="00793ED1">
            <w:pPr>
              <w:spacing w:after="120"/>
              <w:rPr>
                <w:rFonts w:cs="Arial"/>
                <w:sz w:val="20"/>
                <w:szCs w:val="20"/>
              </w:rPr>
            </w:pPr>
            <w:r>
              <w:rPr>
                <w:rFonts w:cs="Arial"/>
                <w:sz w:val="20"/>
                <w:szCs w:val="20"/>
              </w:rPr>
              <w:t xml:space="preserve">2.  </w:t>
            </w:r>
            <w:r w:rsidRPr="002263AD">
              <w:rPr>
                <w:rFonts w:cs="Arial"/>
                <w:sz w:val="20"/>
                <w:szCs w:val="20"/>
              </w:rPr>
              <w:t>Has ICANN's jurisdiction* affected any dispute resolution process or litigation related to domain names you have been involved in?</w:t>
            </w:r>
          </w:p>
          <w:p w:rsidR="00586ACE" w:rsidRPr="002263AD" w:rsidRDefault="00586ACE" w:rsidP="00793ED1">
            <w:pPr>
              <w:spacing w:after="120"/>
              <w:rPr>
                <w:rFonts w:cs="Arial"/>
                <w:sz w:val="20"/>
                <w:szCs w:val="20"/>
              </w:rPr>
            </w:pPr>
            <w:r w:rsidRPr="002263AD">
              <w:rPr>
                <w:rFonts w:cs="Arial"/>
                <w:sz w:val="20"/>
                <w:szCs w:val="20"/>
              </w:rPr>
              <w:t>If the answer is Yes, please describe specific cases, situations or incidents, including the date, the parties involved, and links to any relevant documents.  Please note that “affected” may refer to positive and/or negative effects.</w:t>
            </w:r>
          </w:p>
        </w:tc>
        <w:tc>
          <w:tcPr>
            <w:tcW w:w="3355" w:type="dxa"/>
          </w:tcPr>
          <w:p w:rsidR="00586ACE" w:rsidRPr="002263AD" w:rsidRDefault="00586ACE" w:rsidP="00793ED1">
            <w:pPr>
              <w:spacing w:after="120"/>
              <w:rPr>
                <w:rFonts w:cs="Arial"/>
                <w:sz w:val="20"/>
                <w:szCs w:val="20"/>
              </w:rPr>
            </w:pPr>
            <w:r>
              <w:rPr>
                <w:rFonts w:cs="Arial"/>
                <w:sz w:val="20"/>
                <w:szCs w:val="20"/>
              </w:rPr>
              <w:t>No change proposed.</w:t>
            </w:r>
          </w:p>
        </w:tc>
        <w:tc>
          <w:tcPr>
            <w:tcW w:w="2844" w:type="dxa"/>
          </w:tcPr>
          <w:p w:rsidR="00586ACE" w:rsidRPr="002263AD" w:rsidRDefault="00586ACE" w:rsidP="00793ED1">
            <w:pPr>
              <w:spacing w:after="120"/>
              <w:rPr>
                <w:rFonts w:cs="Arial"/>
                <w:sz w:val="20"/>
                <w:szCs w:val="20"/>
              </w:rPr>
            </w:pPr>
          </w:p>
        </w:tc>
      </w:tr>
      <w:tr w:rsidR="00586ACE" w:rsidRPr="002263AD" w:rsidTr="00586ACE">
        <w:trPr>
          <w:trHeight w:val="980"/>
        </w:trPr>
        <w:tc>
          <w:tcPr>
            <w:tcW w:w="3377" w:type="dxa"/>
          </w:tcPr>
          <w:p w:rsidR="00586ACE" w:rsidRPr="002263AD" w:rsidRDefault="00586ACE" w:rsidP="00793ED1">
            <w:pPr>
              <w:spacing w:after="120"/>
              <w:rPr>
                <w:rFonts w:cs="Arial"/>
                <w:sz w:val="20"/>
                <w:szCs w:val="20"/>
              </w:rPr>
            </w:pPr>
            <w:r>
              <w:rPr>
                <w:rFonts w:cs="Arial"/>
                <w:sz w:val="20"/>
                <w:szCs w:val="20"/>
              </w:rPr>
              <w:t xml:space="preserve">3.  </w:t>
            </w:r>
            <w:r w:rsidRPr="002263AD">
              <w:rPr>
                <w:rFonts w:cs="Arial"/>
                <w:sz w:val="20"/>
                <w:szCs w:val="20"/>
              </w:rPr>
              <w:t>Do you have copies of and/or links to any verifiable reports of experiences of other parties that would be responsive to the questions above?</w:t>
            </w:r>
          </w:p>
          <w:p w:rsidR="00586ACE" w:rsidRPr="002263AD" w:rsidRDefault="00586ACE" w:rsidP="00793ED1">
            <w:pPr>
              <w:spacing w:after="120"/>
              <w:rPr>
                <w:rFonts w:cs="Arial"/>
                <w:sz w:val="20"/>
                <w:szCs w:val="20"/>
              </w:rPr>
            </w:pPr>
            <w:r w:rsidRPr="002263AD">
              <w:rPr>
                <w:rFonts w:cs="Arial"/>
                <w:sz w:val="20"/>
                <w:szCs w:val="20"/>
              </w:rPr>
              <w:t>If the answer is yes, please provide these copies and/or links.</w:t>
            </w:r>
          </w:p>
        </w:tc>
        <w:tc>
          <w:tcPr>
            <w:tcW w:w="3355" w:type="dxa"/>
          </w:tcPr>
          <w:p w:rsidR="00586ACE" w:rsidRPr="002263AD" w:rsidRDefault="00586ACE" w:rsidP="00793ED1">
            <w:pPr>
              <w:spacing w:after="120"/>
              <w:rPr>
                <w:rFonts w:cs="Arial"/>
                <w:sz w:val="20"/>
                <w:szCs w:val="20"/>
              </w:rPr>
            </w:pPr>
            <w:r>
              <w:rPr>
                <w:rFonts w:cs="Arial"/>
                <w:sz w:val="20"/>
                <w:szCs w:val="20"/>
              </w:rPr>
              <w:t>No change proposed.</w:t>
            </w:r>
          </w:p>
        </w:tc>
        <w:tc>
          <w:tcPr>
            <w:tcW w:w="2844" w:type="dxa"/>
          </w:tcPr>
          <w:p w:rsidR="00586ACE" w:rsidRPr="002263AD" w:rsidRDefault="00586ACE" w:rsidP="00793ED1">
            <w:pPr>
              <w:spacing w:after="120"/>
              <w:rPr>
                <w:rFonts w:cs="Arial"/>
                <w:sz w:val="20"/>
                <w:szCs w:val="20"/>
              </w:rPr>
            </w:pPr>
          </w:p>
        </w:tc>
      </w:tr>
      <w:tr w:rsidR="00586ACE" w:rsidRPr="002263AD" w:rsidTr="00586ACE">
        <w:trPr>
          <w:trHeight w:val="3500"/>
        </w:trPr>
        <w:tc>
          <w:tcPr>
            <w:tcW w:w="3377" w:type="dxa"/>
          </w:tcPr>
          <w:p w:rsidR="00586ACE" w:rsidRPr="002263AD" w:rsidRDefault="00586ACE" w:rsidP="00793ED1">
            <w:pPr>
              <w:spacing w:after="120"/>
              <w:rPr>
                <w:sz w:val="20"/>
                <w:szCs w:val="20"/>
              </w:rPr>
            </w:pPr>
            <w:r>
              <w:rPr>
                <w:sz w:val="20"/>
                <w:szCs w:val="20"/>
              </w:rPr>
              <w:lastRenderedPageBreak/>
              <w:t xml:space="preserve">4.  </w:t>
            </w:r>
            <w:r w:rsidRPr="002263AD">
              <w:rPr>
                <w:sz w:val="20"/>
                <w:szCs w:val="20"/>
              </w:rPr>
              <w:t xml:space="preserve">What are the advantages or disadvantages, if any, relating to ICANN's jurisdiction*, particularly with regard to the actual operation of ICANN’s policies and accountability mechanisms? </w:t>
            </w:r>
          </w:p>
          <w:p w:rsidR="00586ACE" w:rsidRPr="002263AD" w:rsidRDefault="00586ACE" w:rsidP="00793ED1">
            <w:pPr>
              <w:spacing w:after="120"/>
              <w:rPr>
                <w:sz w:val="20"/>
                <w:szCs w:val="20"/>
              </w:rPr>
            </w:pPr>
            <w:r w:rsidRPr="002263AD">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586ACE" w:rsidRPr="002263AD" w:rsidRDefault="00586ACE" w:rsidP="00793ED1">
            <w:pPr>
              <w:spacing w:after="120"/>
              <w:rPr>
                <w:sz w:val="20"/>
                <w:szCs w:val="20"/>
              </w:rPr>
            </w:pPr>
            <w:r w:rsidRPr="002263AD">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3355" w:type="dxa"/>
          </w:tcPr>
          <w:p w:rsidR="00586ACE" w:rsidRDefault="00586ACE" w:rsidP="00D11803">
            <w:pPr>
              <w:spacing w:after="120"/>
              <w:rPr>
                <w:bCs/>
                <w:sz w:val="20"/>
                <w:szCs w:val="20"/>
              </w:rPr>
            </w:pPr>
            <w:r>
              <w:rPr>
                <w:b/>
                <w:sz w:val="20"/>
                <w:szCs w:val="20"/>
              </w:rPr>
              <w:t xml:space="preserve">Alternative 1: </w:t>
            </w:r>
            <w:r w:rsidRPr="002263AD">
              <w:rPr>
                <w:bCs/>
                <w:sz w:val="20"/>
                <w:szCs w:val="20"/>
              </w:rPr>
              <w:t>What are the advantages or disadvantages, if any, relating to ICANN's jurisdiction*, particularly with regard to the actual operation of ICANN’s policies and accountability mechanisms?</w:t>
            </w:r>
          </w:p>
          <w:p w:rsidR="00586ACE" w:rsidRDefault="00586ACE" w:rsidP="00D11803">
            <w:pPr>
              <w:spacing w:after="120"/>
              <w:rPr>
                <w:bCs/>
                <w:sz w:val="20"/>
                <w:szCs w:val="20"/>
              </w:rPr>
            </w:pPr>
            <w:r w:rsidRPr="002263AD">
              <w:rPr>
                <w:bCs/>
                <w:sz w:val="20"/>
                <w:szCs w:val="20"/>
              </w:rPr>
              <w:t>Please support your response with appropriate examples, references to specific laws, case studies, other studies, and analysis. In particular, please indicate if there are current or past instances that highlight such advantages or problems.</w:t>
            </w:r>
            <w:r>
              <w:rPr>
                <w:bCs/>
                <w:sz w:val="20"/>
                <w:szCs w:val="20"/>
              </w:rPr>
              <w:t xml:space="preserve"> </w:t>
            </w:r>
            <w:r w:rsidRPr="00AA5348">
              <w:rPr>
                <w:bCs/>
                <w:color w:val="FF0000"/>
                <w:sz w:val="20"/>
                <w:szCs w:val="20"/>
              </w:rPr>
              <w:t>[DELETE REST OF QUESTION]</w:t>
            </w:r>
          </w:p>
          <w:p w:rsidR="00586ACE" w:rsidRDefault="00586ACE" w:rsidP="00D11803">
            <w:pPr>
              <w:spacing w:after="120"/>
              <w:rPr>
                <w:bCs/>
                <w:sz w:val="20"/>
                <w:szCs w:val="20"/>
              </w:rPr>
            </w:pPr>
            <w:r>
              <w:rPr>
                <w:b/>
                <w:bCs/>
                <w:sz w:val="20"/>
                <w:szCs w:val="20"/>
              </w:rPr>
              <w:t xml:space="preserve">Alternative 2 (proposed as a potential question 5): </w:t>
            </w:r>
            <w:r w:rsidRPr="00D11803">
              <w:rPr>
                <w:bCs/>
                <w:sz w:val="20"/>
                <w:szCs w:val="20"/>
              </w:rPr>
              <w:t xml:space="preserve">What are the advantages or disadvantages, if any, relating to </w:t>
            </w:r>
            <w:r w:rsidRPr="00AA5348">
              <w:rPr>
                <w:bCs/>
                <w:color w:val="FF0000"/>
                <w:sz w:val="20"/>
                <w:szCs w:val="20"/>
              </w:rPr>
              <w:t>changing</w:t>
            </w:r>
            <w:r w:rsidRPr="00D11803">
              <w:rPr>
                <w:bCs/>
                <w:sz w:val="20"/>
                <w:szCs w:val="20"/>
              </w:rPr>
              <w:t xml:space="preserve"> ICANN’s jurisdiction*, particularly with regard to the actual operation of ICANN’s policies and accountability mechanism</w:t>
            </w:r>
            <w:r>
              <w:rPr>
                <w:bCs/>
                <w:sz w:val="20"/>
                <w:szCs w:val="20"/>
              </w:rPr>
              <w:t>s?</w:t>
            </w:r>
          </w:p>
          <w:p w:rsidR="00586ACE" w:rsidRPr="00D11803" w:rsidRDefault="00586ACE" w:rsidP="00D11803">
            <w:pPr>
              <w:spacing w:after="120"/>
              <w:rPr>
                <w:b/>
                <w:bCs/>
              </w:rPr>
            </w:pPr>
            <w:r>
              <w:rPr>
                <w:b/>
                <w:bCs/>
                <w:sz w:val="20"/>
                <w:szCs w:val="20"/>
              </w:rPr>
              <w:t xml:space="preserve">Alternative 3: </w:t>
            </w:r>
            <w:r w:rsidRPr="00D11803">
              <w:rPr>
                <w:bCs/>
                <w:sz w:val="20"/>
                <w:szCs w:val="20"/>
              </w:rPr>
              <w:t xml:space="preserve">What are the advantages or disadvantages, if any, relating to </w:t>
            </w:r>
            <w:r w:rsidRPr="00AA5348">
              <w:rPr>
                <w:bCs/>
                <w:color w:val="FF0000"/>
                <w:sz w:val="20"/>
                <w:szCs w:val="20"/>
              </w:rPr>
              <w:t>changing</w:t>
            </w:r>
            <w:r w:rsidRPr="00D11803">
              <w:rPr>
                <w:bCs/>
                <w:sz w:val="20"/>
                <w:szCs w:val="20"/>
              </w:rPr>
              <w:t xml:space="preserve"> ICANN’s jurisdiction*, </w:t>
            </w:r>
            <w:r w:rsidRPr="00AA5348">
              <w:rPr>
                <w:bCs/>
                <w:iCs/>
                <w:color w:val="FF0000"/>
                <w:sz w:val="20"/>
                <w:szCs w:val="20"/>
              </w:rPr>
              <w:t>or providing possible jurisdictional immunity</w:t>
            </w:r>
            <w:r w:rsidRPr="00D11803">
              <w:rPr>
                <w:bCs/>
                <w:i/>
                <w:iCs/>
                <w:sz w:val="20"/>
                <w:szCs w:val="20"/>
              </w:rPr>
              <w:t>,</w:t>
            </w:r>
            <w:r w:rsidRPr="00D11803">
              <w:rPr>
                <w:bCs/>
                <w:sz w:val="20"/>
                <w:szCs w:val="20"/>
              </w:rPr>
              <w:t xml:space="preserve"> particularly with regard to the actual operation of ICANN’s policies</w:t>
            </w:r>
            <w:r>
              <w:rPr>
                <w:bCs/>
                <w:sz w:val="20"/>
                <w:szCs w:val="20"/>
              </w:rPr>
              <w:t xml:space="preserve"> and accountability mechanisms?</w:t>
            </w:r>
          </w:p>
          <w:p w:rsidR="00586ACE" w:rsidRDefault="00586ACE" w:rsidP="00506294">
            <w:pPr>
              <w:spacing w:after="120"/>
              <w:rPr>
                <w:sz w:val="20"/>
                <w:szCs w:val="20"/>
              </w:rPr>
            </w:pPr>
            <w:r>
              <w:rPr>
                <w:b/>
                <w:sz w:val="20"/>
                <w:szCs w:val="20"/>
              </w:rPr>
              <w:t>Alternative 4:</w:t>
            </w:r>
            <w:r>
              <w:t xml:space="preserve"> </w:t>
            </w:r>
            <w:r w:rsidRPr="00506294">
              <w:rPr>
                <w:sz w:val="20"/>
                <w:szCs w:val="20"/>
              </w:rPr>
              <w:t xml:space="preserve">What are the advantages or disadvantages, if any, relating to ICANN’s jurisdiction*, </w:t>
            </w:r>
            <w:r w:rsidRPr="00AA5348">
              <w:rPr>
                <w:color w:val="FF0000"/>
                <w:sz w:val="20"/>
                <w:szCs w:val="20"/>
              </w:rPr>
              <w:t xml:space="preserve">and of any possible alternatives, </w:t>
            </w:r>
            <w:r w:rsidRPr="00506294">
              <w:rPr>
                <w:sz w:val="20"/>
                <w:szCs w:val="20"/>
              </w:rPr>
              <w:t>particularly with regard to the actual operation of ICANN’s policies and accountability mechanisms?</w:t>
            </w:r>
          </w:p>
          <w:p w:rsidR="00586ACE" w:rsidRPr="00E50AD9" w:rsidRDefault="00586ACE" w:rsidP="00E50AD9">
            <w:pPr>
              <w:spacing w:after="120"/>
              <w:rPr>
                <w:b/>
                <w:sz w:val="20"/>
                <w:szCs w:val="20"/>
              </w:rPr>
            </w:pPr>
            <w:r>
              <w:rPr>
                <w:b/>
                <w:sz w:val="20"/>
                <w:szCs w:val="20"/>
              </w:rPr>
              <w:t>Alternative 5:</w:t>
            </w:r>
            <w:r>
              <w:t xml:space="preserve"> </w:t>
            </w:r>
            <w:r w:rsidRPr="00E50AD9">
              <w:rPr>
                <w:sz w:val="20"/>
                <w:szCs w:val="20"/>
              </w:rPr>
              <w:t>What are the advantages or disadvantages, if any, relating to ICANN's jurisdiction*</w:t>
            </w:r>
            <w:r w:rsidR="006F406E">
              <w:rPr>
                <w:b/>
                <w:color w:val="FF0000"/>
                <w:sz w:val="20"/>
                <w:szCs w:val="20"/>
              </w:rPr>
              <w:t>^</w:t>
            </w:r>
            <w:bookmarkStart w:id="0" w:name="_GoBack"/>
            <w:bookmarkEnd w:id="0"/>
            <w:r>
              <w:rPr>
                <w:sz w:val="20"/>
                <w:szCs w:val="20"/>
              </w:rPr>
              <w:t>?</w:t>
            </w:r>
          </w:p>
        </w:tc>
        <w:tc>
          <w:tcPr>
            <w:tcW w:w="2844" w:type="dxa"/>
          </w:tcPr>
          <w:p w:rsidR="00586ACE" w:rsidRDefault="00586ACE" w:rsidP="00D11803">
            <w:pPr>
              <w:spacing w:after="120"/>
              <w:rPr>
                <w:b/>
                <w:sz w:val="20"/>
                <w:szCs w:val="20"/>
              </w:rPr>
            </w:pPr>
          </w:p>
        </w:tc>
      </w:tr>
    </w:tbl>
    <w:p w:rsidR="00330758" w:rsidRPr="00330758" w:rsidRDefault="00330758" w:rsidP="00793ED1">
      <w:pPr>
        <w:spacing w:after="240"/>
        <w:rPr>
          <w:sz w:val="22"/>
          <w:szCs w:val="22"/>
        </w:rPr>
      </w:pPr>
    </w:p>
    <w:sectPr w:rsidR="00330758" w:rsidRPr="00330758" w:rsidSect="00F71D15">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86" w:rsidRDefault="003D2A86" w:rsidP="007E63BC">
      <w:r>
        <w:separator/>
      </w:r>
    </w:p>
  </w:endnote>
  <w:endnote w:type="continuationSeparator" w:id="0">
    <w:p w:rsidR="003D2A86" w:rsidRDefault="003D2A86" w:rsidP="007E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BC" w:rsidRPr="00C534DC" w:rsidRDefault="007E63BC" w:rsidP="00C534DC">
    <w:pPr>
      <w:rPr>
        <w:sz w:val="20"/>
        <w:szCs w:val="20"/>
      </w:rPr>
    </w:pPr>
    <w:proofErr w:type="gramStart"/>
    <w:r w:rsidRPr="00C534DC">
      <w:rPr>
        <w:sz w:val="20"/>
        <w:szCs w:val="20"/>
      </w:rPr>
      <w:t>*  For</w:t>
    </w:r>
    <w:proofErr w:type="gramEnd"/>
    <w:r w:rsidRPr="00C534DC">
      <w:rPr>
        <w:sz w:val="20"/>
        <w:szCs w:val="20"/>
      </w:rPr>
      <w:t xml:space="preserve"> these questions, “ICANN’s jurisdiction” refers to (a) ICANN being subject to U.S. and California law as a result of its incorporation and location in California, (b) ICANN being subject to the laws of any other country as a result of its location within or contacts with that country, or (c) any “choice of law” or venue provisions in agreements with ICANN.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86" w:rsidRDefault="003D2A86" w:rsidP="007E63BC">
      <w:r>
        <w:separator/>
      </w:r>
    </w:p>
  </w:footnote>
  <w:footnote w:type="continuationSeparator" w:id="0">
    <w:p w:rsidR="003D2A86" w:rsidRDefault="003D2A86" w:rsidP="007E6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F226E"/>
    <w:multiLevelType w:val="hybridMultilevel"/>
    <w:tmpl w:val="0A46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44"/>
    <w:rsid w:val="00000A97"/>
    <w:rsid w:val="000A4B36"/>
    <w:rsid w:val="000D4722"/>
    <w:rsid w:val="001F3BEF"/>
    <w:rsid w:val="002263AD"/>
    <w:rsid w:val="0023444A"/>
    <w:rsid w:val="0026495D"/>
    <w:rsid w:val="00330758"/>
    <w:rsid w:val="00335EE7"/>
    <w:rsid w:val="00341B95"/>
    <w:rsid w:val="003D2A86"/>
    <w:rsid w:val="004163C8"/>
    <w:rsid w:val="004B6987"/>
    <w:rsid w:val="004C5BCF"/>
    <w:rsid w:val="00506294"/>
    <w:rsid w:val="00586ACE"/>
    <w:rsid w:val="006F406E"/>
    <w:rsid w:val="00793ED1"/>
    <w:rsid w:val="007E63BC"/>
    <w:rsid w:val="007F63C1"/>
    <w:rsid w:val="00892484"/>
    <w:rsid w:val="008E0144"/>
    <w:rsid w:val="008F25BB"/>
    <w:rsid w:val="009A55D4"/>
    <w:rsid w:val="00A008F6"/>
    <w:rsid w:val="00AA5348"/>
    <w:rsid w:val="00AC5CEF"/>
    <w:rsid w:val="00B27BC3"/>
    <w:rsid w:val="00B62388"/>
    <w:rsid w:val="00C029D2"/>
    <w:rsid w:val="00C534DC"/>
    <w:rsid w:val="00CE1006"/>
    <w:rsid w:val="00D060ED"/>
    <w:rsid w:val="00D11803"/>
    <w:rsid w:val="00DC498D"/>
    <w:rsid w:val="00DD34B5"/>
    <w:rsid w:val="00DE045A"/>
    <w:rsid w:val="00E440DB"/>
    <w:rsid w:val="00E50AD9"/>
    <w:rsid w:val="00EA3B31"/>
    <w:rsid w:val="00EE1AA6"/>
    <w:rsid w:val="00EE2115"/>
    <w:rsid w:val="00EE77E7"/>
    <w:rsid w:val="00F07DFF"/>
    <w:rsid w:val="00F422D2"/>
    <w:rsid w:val="00F62BE6"/>
    <w:rsid w:val="00F71D15"/>
    <w:rsid w:val="00FB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F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44"/>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AC5CEF"/>
    <w:rPr>
      <w:color w:val="0000FF" w:themeColor="hyperlink"/>
      <w:u w:val="single"/>
    </w:rPr>
  </w:style>
  <w:style w:type="character" w:styleId="FollowedHyperlink">
    <w:name w:val="FollowedHyperlink"/>
    <w:basedOn w:val="DefaultParagraphFont"/>
    <w:uiPriority w:val="99"/>
    <w:semiHidden/>
    <w:unhideWhenUsed/>
    <w:rsid w:val="00AC5CEF"/>
    <w:rPr>
      <w:color w:val="800080" w:themeColor="followedHyperlink"/>
      <w:u w:val="single"/>
    </w:rPr>
  </w:style>
  <w:style w:type="character" w:customStyle="1" w:styleId="apple-converted-space">
    <w:name w:val="apple-converted-space"/>
    <w:basedOn w:val="DefaultParagraphFont"/>
    <w:rsid w:val="00341B95"/>
  </w:style>
  <w:style w:type="paragraph" w:styleId="Header">
    <w:name w:val="header"/>
    <w:basedOn w:val="Normal"/>
    <w:link w:val="HeaderChar"/>
    <w:uiPriority w:val="99"/>
    <w:unhideWhenUsed/>
    <w:rsid w:val="007E63BC"/>
    <w:pPr>
      <w:tabs>
        <w:tab w:val="center" w:pos="4680"/>
        <w:tab w:val="right" w:pos="9360"/>
      </w:tabs>
    </w:pPr>
  </w:style>
  <w:style w:type="character" w:customStyle="1" w:styleId="HeaderChar">
    <w:name w:val="Header Char"/>
    <w:basedOn w:val="DefaultParagraphFont"/>
    <w:link w:val="Header"/>
    <w:uiPriority w:val="99"/>
    <w:rsid w:val="007E63BC"/>
    <w:rPr>
      <w:rFonts w:eastAsiaTheme="minorEastAsia"/>
      <w:sz w:val="24"/>
      <w:szCs w:val="24"/>
    </w:rPr>
  </w:style>
  <w:style w:type="paragraph" w:styleId="Footer">
    <w:name w:val="footer"/>
    <w:basedOn w:val="Normal"/>
    <w:link w:val="FooterChar"/>
    <w:uiPriority w:val="99"/>
    <w:unhideWhenUsed/>
    <w:rsid w:val="007E63BC"/>
    <w:pPr>
      <w:tabs>
        <w:tab w:val="center" w:pos="4680"/>
        <w:tab w:val="right" w:pos="9360"/>
      </w:tabs>
    </w:pPr>
  </w:style>
  <w:style w:type="character" w:customStyle="1" w:styleId="FooterChar">
    <w:name w:val="Footer Char"/>
    <w:basedOn w:val="DefaultParagraphFont"/>
    <w:link w:val="Footer"/>
    <w:uiPriority w:val="99"/>
    <w:rsid w:val="007E63BC"/>
    <w:rPr>
      <w:rFonts w:eastAsiaTheme="minorEastAsia"/>
      <w:sz w:val="24"/>
      <w:szCs w:val="24"/>
    </w:rPr>
  </w:style>
  <w:style w:type="table" w:styleId="TableGrid">
    <w:name w:val="Table Grid"/>
    <w:basedOn w:val="TableNormal"/>
    <w:uiPriority w:val="59"/>
    <w:rsid w:val="0079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1180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1803"/>
    <w:rPr>
      <w:rFonts w:ascii="Consolas" w:eastAsiaTheme="minorEastAsia"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F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44"/>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AC5CEF"/>
    <w:rPr>
      <w:color w:val="0000FF" w:themeColor="hyperlink"/>
      <w:u w:val="single"/>
    </w:rPr>
  </w:style>
  <w:style w:type="character" w:styleId="FollowedHyperlink">
    <w:name w:val="FollowedHyperlink"/>
    <w:basedOn w:val="DefaultParagraphFont"/>
    <w:uiPriority w:val="99"/>
    <w:semiHidden/>
    <w:unhideWhenUsed/>
    <w:rsid w:val="00AC5CEF"/>
    <w:rPr>
      <w:color w:val="800080" w:themeColor="followedHyperlink"/>
      <w:u w:val="single"/>
    </w:rPr>
  </w:style>
  <w:style w:type="character" w:customStyle="1" w:styleId="apple-converted-space">
    <w:name w:val="apple-converted-space"/>
    <w:basedOn w:val="DefaultParagraphFont"/>
    <w:rsid w:val="00341B95"/>
  </w:style>
  <w:style w:type="paragraph" w:styleId="Header">
    <w:name w:val="header"/>
    <w:basedOn w:val="Normal"/>
    <w:link w:val="HeaderChar"/>
    <w:uiPriority w:val="99"/>
    <w:unhideWhenUsed/>
    <w:rsid w:val="007E63BC"/>
    <w:pPr>
      <w:tabs>
        <w:tab w:val="center" w:pos="4680"/>
        <w:tab w:val="right" w:pos="9360"/>
      </w:tabs>
    </w:pPr>
  </w:style>
  <w:style w:type="character" w:customStyle="1" w:styleId="HeaderChar">
    <w:name w:val="Header Char"/>
    <w:basedOn w:val="DefaultParagraphFont"/>
    <w:link w:val="Header"/>
    <w:uiPriority w:val="99"/>
    <w:rsid w:val="007E63BC"/>
    <w:rPr>
      <w:rFonts w:eastAsiaTheme="minorEastAsia"/>
      <w:sz w:val="24"/>
      <w:szCs w:val="24"/>
    </w:rPr>
  </w:style>
  <w:style w:type="paragraph" w:styleId="Footer">
    <w:name w:val="footer"/>
    <w:basedOn w:val="Normal"/>
    <w:link w:val="FooterChar"/>
    <w:uiPriority w:val="99"/>
    <w:unhideWhenUsed/>
    <w:rsid w:val="007E63BC"/>
    <w:pPr>
      <w:tabs>
        <w:tab w:val="center" w:pos="4680"/>
        <w:tab w:val="right" w:pos="9360"/>
      </w:tabs>
    </w:pPr>
  </w:style>
  <w:style w:type="character" w:customStyle="1" w:styleId="FooterChar">
    <w:name w:val="Footer Char"/>
    <w:basedOn w:val="DefaultParagraphFont"/>
    <w:link w:val="Footer"/>
    <w:uiPriority w:val="99"/>
    <w:rsid w:val="007E63BC"/>
    <w:rPr>
      <w:rFonts w:eastAsiaTheme="minorEastAsia"/>
      <w:sz w:val="24"/>
      <w:szCs w:val="24"/>
    </w:rPr>
  </w:style>
  <w:style w:type="table" w:styleId="TableGrid">
    <w:name w:val="Table Grid"/>
    <w:basedOn w:val="TableNormal"/>
    <w:uiPriority w:val="59"/>
    <w:rsid w:val="0079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1180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1803"/>
    <w:rPr>
      <w:rFonts w:ascii="Consolas" w:eastAsiaTheme="minorEastAsia"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1725">
      <w:bodyDiv w:val="1"/>
      <w:marLeft w:val="0"/>
      <w:marRight w:val="0"/>
      <w:marTop w:val="0"/>
      <w:marBottom w:val="0"/>
      <w:divBdr>
        <w:top w:val="none" w:sz="0" w:space="0" w:color="auto"/>
        <w:left w:val="none" w:sz="0" w:space="0" w:color="auto"/>
        <w:bottom w:val="none" w:sz="0" w:space="0" w:color="auto"/>
        <w:right w:val="none" w:sz="0" w:space="0" w:color="auto"/>
      </w:divBdr>
    </w:div>
    <w:div w:id="17679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58723827&amp;preview=/58723827/58726532/Main%20Report%20-%20FINAL-Revised.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unity.icann.org/pages/viewpage.action?pageId=58723827&amp;preview=/58723827/58726532/Main%20Report%20-%20FINAL-Revised.pdf" TargetMode="External"/><Relationship Id="rId4" Type="http://schemas.openxmlformats.org/officeDocument/2006/relationships/settings" Target="settings.xml"/><Relationship Id="rId9" Type="http://schemas.openxmlformats.org/officeDocument/2006/relationships/hyperlink" Target="https://community.icann.org/pages/viewpage.action?pageId=58723827&amp;preview=/58723827/58726378/Annex%2012%20-%20FINAL-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Greg Shatan</cp:lastModifiedBy>
  <cp:revision>5</cp:revision>
  <cp:lastPrinted>2016-12-27T07:45:00Z</cp:lastPrinted>
  <dcterms:created xsi:type="dcterms:W3CDTF">2016-12-27T06:31:00Z</dcterms:created>
  <dcterms:modified xsi:type="dcterms:W3CDTF">2017-01-03T00:51:00Z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-1099204353</vt:i4>
  </property>
  <property fmtid="{D5CDD505-2E9C-101B-9397-08002B2CF9AE}" pid="3" name="_NewReviewCycle">
    <vt:lpwstr/>
  </property>
  <property fmtid="{D5CDD505-2E9C-101B-9397-08002B2CF9AE}" pid="4" name="_EmailSubject">
    <vt:lpwstr>[EXTERNAL] Re: [Ws2-jurisdiction] Draft questions-preamble language.</vt:lpwstr>
  </property>
  <property fmtid="{D5CDD505-2E9C-101B-9397-08002B2CF9AE}" pid="5" name="_AuthorEmail">
    <vt:lpwstr>dmcauley@Verisign.com</vt:lpwstr>
  </property>
  <property fmtid="{D5CDD505-2E9C-101B-9397-08002B2CF9AE}" pid="6" name="_AuthorEmailDisplayName">
    <vt:lpwstr>McAuley, David</vt:lpwstr>
  </property>
  <property fmtid="{D5CDD505-2E9C-101B-9397-08002B2CF9AE}" pid="7" name="_ReviewingToolsShownOnce">
    <vt:lpwstr/>
  </property>
</Properties>
</file>