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AA" w:rsidRDefault="00E83D4F">
      <w:pPr>
        <w:rPr>
          <w:b/>
        </w:rPr>
      </w:pPr>
      <w:r>
        <w:rPr>
          <w:b/>
        </w:rPr>
        <w:t>RECOMMENDATIONS REGARDING OFAC AND RELATED SANCTIONS ISSUES</w:t>
      </w:r>
    </w:p>
    <w:p w:rsidR="009C63AA" w:rsidRDefault="00E83D4F">
      <w:pPr>
        <w:rPr>
          <w:b/>
        </w:rPr>
      </w:pPr>
      <w:r>
        <w:rPr>
          <w:b/>
        </w:rPr>
        <w:t>BACKGROUND</w:t>
      </w:r>
    </w:p>
    <w:p w:rsidR="009C63AA" w:rsidRDefault="00E83D4F">
      <w:r>
        <w:t xml:space="preserve">The Subgroup has considered several related issues under the common topic of the effect of government sanctions on ICANN’s operations and accountability.  In particular, these issue have been raised in relation to U.S. government sanctions administered by </w:t>
      </w:r>
      <w:r>
        <w:t>the Office of Foreign Asset Control (OFAC).</w:t>
      </w:r>
    </w:p>
    <w:p w:rsidR="009C63AA" w:rsidRDefault="00E83D4F">
      <w:r>
        <w:t>OFAC is an office of the U.S. Treasury that administers and enforces economic and trade sanctions based on U.S. foreign policy and national security goals against targeted individuals and entities.</w:t>
      </w:r>
      <w:r>
        <w:rPr>
          <w:vertAlign w:val="superscript"/>
        </w:rPr>
        <w:footnoteReference w:id="1"/>
      </w:r>
      <w:r>
        <w:t xml:space="preserve">  Where a nati</w:t>
      </w:r>
      <w:r>
        <w:t>on is subject to sanctions, the sanctions may extend to its citizens, regardless of their personal character or activities.  OFAC has been delegated responsibility by the Secretary of the Treasury for developing, promulgating, and administering U.S. sancti</w:t>
      </w:r>
      <w:r>
        <w:t>ons programs.  Many of these sanctions are based on United Nations and other international mandates; therefore, they are multilateral in scope, and involve close cooperation with allied governments. Other sanctions are specific to the national security int</w:t>
      </w:r>
      <w:r>
        <w:t>erests of the United States.</w:t>
      </w:r>
    </w:p>
    <w:p w:rsidR="009C63AA" w:rsidRDefault="00E83D4F">
      <w:r>
        <w:t>OFAC acts under executive and legislative authority to impose controls on transactions and to freeze assets under U.S. jurisdiction.</w:t>
      </w:r>
    </w:p>
    <w:p w:rsidR="009C63AA" w:rsidRDefault="00E83D4F">
      <w:r>
        <w:t>OFAC also enforces apparent violations of its regulations, based on its Economic Sanctions Enf</w:t>
      </w:r>
      <w:r>
        <w:t>orcement Guidelines.</w:t>
      </w:r>
      <w:r>
        <w:rPr>
          <w:vertAlign w:val="superscript"/>
        </w:rPr>
        <w:footnoteReference w:id="2"/>
      </w:r>
      <w:r>
        <w:t xml:space="preserve">  Enforcement may result in civil penalties up to $250,000 per violation or twice the amount of a transaction, whichever is greater. </w:t>
      </w:r>
    </w:p>
    <w:p w:rsidR="009C63AA" w:rsidRDefault="00E83D4F">
      <w:pPr>
        <w:rPr>
          <w:b/>
        </w:rPr>
      </w:pPr>
      <w:r>
        <w:rPr>
          <w:b/>
        </w:rPr>
        <w:t>Persons Subject to Compliance Obligations</w:t>
      </w:r>
    </w:p>
    <w:p w:rsidR="009C63AA" w:rsidRDefault="00E83D4F">
      <w:ins w:id="1" w:author="Greg Shatan" w:date="2017-09-18T08:03:00Z">
        <w:r w:rsidRPr="00CD3A69">
          <w:t>According to the OFAC website, “U.S. persons must comply wi</w:t>
        </w:r>
        <w:r w:rsidRPr="00CD3A69">
          <w:t>th OFAC regulations, including all U.S. citizens and permanent resident aliens regardless of where they are located, all persons and entities within the United States, all U.S. incorporated entities and their foreign branches. In the cases of certain progr</w:t>
        </w:r>
        <w:r w:rsidRPr="00CD3A69">
          <w:t>ams, foreign subsidiaries owned or controlled by U.S. companies also must comply. Certain programs also require foreign persons in possession of U.S.-origin goods to comply.”</w:t>
        </w:r>
        <w:r>
          <w:rPr>
            <w:vertAlign w:val="superscript"/>
          </w:rPr>
          <w:footnoteReference w:id="3"/>
        </w:r>
        <w:r w:rsidRPr="00CD3A69">
          <w:t xml:space="preserve"> </w:t>
        </w:r>
      </w:ins>
    </w:p>
    <w:p w:rsidR="009C63AA" w:rsidRDefault="00E83D4F">
      <w:del w:id="4" w:author="Greg Shatan" w:date="2017-09-18T09:45:00Z">
        <w:r>
          <w:delText>All U.S. persons, including legal entities, must comply with OFAC's regulations</w:delText>
        </w:r>
        <w:r>
          <w:delText xml:space="preserve">.  The laws and OFAC-issued regulations apply not only to U.S. entities and their domestic affiliates, but also to </w:delText>
        </w:r>
      </w:del>
      <w:ins w:id="5" w:author="Greg Shatan" w:date="2017-09-18T09:45:00Z">
        <w:del w:id="6" w:author="Greg Shatan" w:date="2017-09-18T09:45:00Z">
          <w:r>
            <w:delText xml:space="preserve">their </w:delText>
          </w:r>
        </w:del>
      </w:ins>
      <w:del w:id="7" w:author="Greg Shatan" w:date="2017-09-18T09:45:00Z">
        <w:r>
          <w:delText>foreign branches, and often overseas offices and</w:delText>
        </w:r>
        <w:commentRangeStart w:id="8"/>
        <w:commentRangeStart w:id="9"/>
        <w:r>
          <w:delText xml:space="preserve"> subsidiaries</w:delText>
        </w:r>
        <w:commentRangeEnd w:id="8"/>
        <w:r>
          <w:commentReference w:id="8"/>
        </w:r>
        <w:commentRangeEnd w:id="9"/>
        <w:r>
          <w:commentReference w:id="9"/>
        </w:r>
        <w:r>
          <w:delText xml:space="preserve">. </w:delText>
        </w:r>
      </w:del>
    </w:p>
    <w:p w:rsidR="009C63AA" w:rsidRDefault="00E83D4F">
      <w:r>
        <w:rPr>
          <w:b/>
        </w:rPr>
        <w:t>Covered Persons</w:t>
      </w:r>
    </w:p>
    <w:p w:rsidR="009C63AA" w:rsidRDefault="00E83D4F">
      <w:r>
        <w:t>OFAC maintains a list of specially designated nat</w:t>
      </w:r>
      <w:r>
        <w:t xml:space="preserve">ionals (SDNs) that U.S. persons cannot transact with.  These are individuals who are singled out for sanctions. However, where a sanction applies to a country, </w:t>
      </w:r>
      <w:r>
        <w:lastRenderedPageBreak/>
        <w:t>citizens of that country who are not SDNs often cannot freely transact with U.S. persons, withou</w:t>
      </w:r>
      <w:r>
        <w:t>t regard to their personal character or activities.</w:t>
      </w:r>
    </w:p>
    <w:p w:rsidR="009C63AA" w:rsidRDefault="00E83D4F">
      <w:pPr>
        <w:rPr>
          <w:b/>
        </w:rPr>
      </w:pPr>
      <w:r>
        <w:rPr>
          <w:b/>
        </w:rPr>
        <w:t>Prohibited Transactions</w:t>
      </w:r>
    </w:p>
    <w:p w:rsidR="009C63AA" w:rsidRDefault="00E83D4F">
      <w:r>
        <w:t>Under OFAC, certain transactions may be prohibited. Such transactions cannot be consummated unless there is either a specific license or a general license permitting the transactio</w:t>
      </w:r>
      <w:r>
        <w:t xml:space="preserve">n. </w:t>
      </w:r>
    </w:p>
    <w:p w:rsidR="009C63AA" w:rsidRDefault="00E83D4F">
      <w:pPr>
        <w:rPr>
          <w:b/>
        </w:rPr>
      </w:pPr>
      <w:r>
        <w:rPr>
          <w:b/>
        </w:rPr>
        <w:t>OFAC Licenses</w:t>
      </w:r>
    </w:p>
    <w:p w:rsidR="009C63AA" w:rsidRDefault="00E83D4F">
      <w:r>
        <w:t>OFAC has the authority, through a licensing process, to permit certain transactions that would otherwise be prohibited under its regulations. OFAC can issue a license to engage in an otherwise prohibited transaction when it determines tha</w:t>
      </w:r>
      <w:r>
        <w:t xml:space="preserve">t the transaction does not undermine the U.S. policy objectives of the particular sanctions program, or is otherwise justified by U.S. national security or foreign policy objectives. OFAC can also promulgate general licenses, which authorize categories of </w:t>
      </w:r>
      <w:r>
        <w:t>transactions, without the need for case-by-case authorization from OFAC. General licenses are actually regulations, which must be adopted and then can be found in the regulations for each sanctions program</w:t>
      </w:r>
      <w:r>
        <w:rPr>
          <w:vertAlign w:val="superscript"/>
        </w:rPr>
        <w:footnoteReference w:id="4"/>
      </w:r>
      <w:r>
        <w:t xml:space="preserve"> and may be accessed from OFAC’s Web site.  The re</w:t>
      </w:r>
      <w:r>
        <w:t>gulation covering a general license will set forth the relevant criteria of the general license, including the classes of person and category or categories of transactions covered by the general license.</w:t>
      </w:r>
    </w:p>
    <w:p w:rsidR="009C63AA" w:rsidRDefault="00E83D4F">
      <w:r>
        <w:t>Specific licenses are applied for by one of the part</w:t>
      </w:r>
      <w:r>
        <w:t>ies to the transaction and issued on a case-by-case basis.  A specific license is a written document issued by OFAC authorizing a particular transaction or set of transactions generally limited to a specified time period. To receive a specific license, the</w:t>
      </w:r>
      <w:r>
        <w:t xml:space="preserve"> person or entity who would like to undertake the transaction must submit an application to OFAC. If the transaction conforms to OFAC's internal licensing policies and U.S. foreign policy objectives, the license generally is issued.</w:t>
      </w:r>
    </w:p>
    <w:p w:rsidR="009C63AA" w:rsidRDefault="00E83D4F">
      <w:r>
        <w:rPr>
          <w:b/>
        </w:rPr>
        <w:t>ISSUES PRESENTED</w:t>
      </w:r>
    </w:p>
    <w:p w:rsidR="009C63AA" w:rsidRDefault="00E83D4F">
      <w:pPr>
        <w:numPr>
          <w:ilvl w:val="0"/>
          <w:numId w:val="1"/>
        </w:numPr>
        <w:spacing w:after="0" w:line="240" w:lineRule="auto"/>
        <w:contextualSpacing/>
      </w:pPr>
      <w:r>
        <w:t>Genera</w:t>
      </w:r>
      <w:r>
        <w:t>lly</w:t>
      </w:r>
    </w:p>
    <w:p w:rsidR="009C63AA" w:rsidRDefault="00E83D4F">
      <w:pPr>
        <w:numPr>
          <w:ilvl w:val="0"/>
          <w:numId w:val="1"/>
        </w:numPr>
        <w:spacing w:after="0" w:line="240" w:lineRule="auto"/>
        <w:contextualSpacing/>
      </w:pPr>
      <w:r>
        <w:t>ICANN contractual language in RAA relating to OFAC licenses</w:t>
      </w:r>
    </w:p>
    <w:p w:rsidR="009C63AA" w:rsidRDefault="00E83D4F">
      <w:pPr>
        <w:numPr>
          <w:ilvl w:val="0"/>
          <w:numId w:val="1"/>
        </w:numPr>
        <w:spacing w:after="0" w:line="240" w:lineRule="auto"/>
        <w:contextualSpacing/>
        <w:rPr>
          <w:ins w:id="10" w:author="Greg Shatan" w:date="2017-09-18T11:39:00Z"/>
        </w:rPr>
      </w:pPr>
      <w:r>
        <w:t>Applicability of OFAC to Non-US Registrars</w:t>
      </w:r>
    </w:p>
    <w:p w:rsidR="009C63AA" w:rsidRDefault="00E83D4F">
      <w:pPr>
        <w:numPr>
          <w:ilvl w:val="0"/>
          <w:numId w:val="1"/>
        </w:numPr>
        <w:spacing w:after="0" w:line="240" w:lineRule="auto"/>
        <w:contextualSpacing/>
        <w:rPr>
          <w:ins w:id="11" w:author="Greg Shatan" w:date="2017-09-18T11:39:00Z"/>
        </w:rPr>
      </w:pPr>
      <w:ins w:id="12" w:author="Greg Shatan" w:date="2017-09-18T11:39:00Z">
        <w:r>
          <w:t>Approval of gTLD registries</w:t>
        </w:r>
      </w:ins>
    </w:p>
    <w:p w:rsidR="009C63AA" w:rsidRDefault="00E83D4F">
      <w:pPr>
        <w:numPr>
          <w:ilvl w:val="0"/>
          <w:numId w:val="1"/>
        </w:numPr>
        <w:spacing w:after="0" w:line="240" w:lineRule="auto"/>
        <w:contextualSpacing/>
      </w:pPr>
      <w:r>
        <w:t>Application of OFAC restrictions by Non-US Registrars</w:t>
      </w:r>
    </w:p>
    <w:p w:rsidR="009C63AA" w:rsidRDefault="00E83D4F">
      <w:pPr>
        <w:numPr>
          <w:ilvl w:val="0"/>
          <w:numId w:val="1"/>
        </w:numPr>
        <w:spacing w:after="0" w:line="240" w:lineRule="auto"/>
        <w:contextualSpacing/>
        <w:rPr>
          <w:del w:id="13" w:author="Greg Shatan" w:date="2017-09-18T11:39:00Z"/>
        </w:rPr>
      </w:pPr>
      <w:ins w:id="14" w:author="Greg Shatan" w:date="2017-09-18T11:39:00Z">
        <w:r>
          <w:t>General Licenses</w:t>
        </w:r>
      </w:ins>
      <w:del w:id="15" w:author="Greg Shatan" w:date="2017-09-18T11:39:00Z">
        <w:r>
          <w:delText>Approval of gTLD registries</w:delText>
        </w:r>
      </w:del>
    </w:p>
    <w:p w:rsidR="009C63AA" w:rsidRDefault="00E83D4F" w:rsidP="00CD3A69">
      <w:pPr>
        <w:numPr>
          <w:ilvl w:val="0"/>
          <w:numId w:val="1"/>
        </w:numPr>
        <w:spacing w:after="120" w:line="240" w:lineRule="auto"/>
      </w:pPr>
      <w:del w:id="16" w:author="Greg Shatan" w:date="2017-09-18T11:39:00Z">
        <w:r>
          <w:delText>Cancellation by some registrars of domain name registrations owned by registrants in countries subject to OFAC</w:delText>
        </w:r>
      </w:del>
    </w:p>
    <w:p w:rsidR="009C63AA" w:rsidRDefault="00E83D4F">
      <w:pPr>
        <w:spacing w:after="120" w:line="240" w:lineRule="auto"/>
        <w:ind w:left="720" w:hanging="720"/>
        <w:rPr>
          <w:b/>
        </w:rPr>
      </w:pPr>
      <w:r>
        <w:rPr>
          <w:b/>
        </w:rPr>
        <w:t>Generally</w:t>
      </w:r>
    </w:p>
    <w:p w:rsidR="009C63AA" w:rsidRDefault="00E83D4F">
      <w:r>
        <w:t>There is a tension between the goal of administering the Internet as a neutral global resource and the imposition of sanctions by the U.S. on other countries.</w:t>
      </w:r>
      <w:r>
        <w:rPr>
          <w:vertAlign w:val="superscript"/>
        </w:rPr>
        <w:footnoteReference w:id="5"/>
      </w:r>
      <w:r>
        <w:t xml:space="preserve"> Sanctions laws and policies, when applied to </w:t>
      </w:r>
      <w:r>
        <w:lastRenderedPageBreak/>
        <w:t>domain name registrars and registries, can hamper a</w:t>
      </w:r>
      <w:r>
        <w:t xml:space="preserve">ccess to the domain name system by innocent users and businesses, simply based on their nationality. For these persons to transact with ICANN, they or ICANN will need to apply for an OFAC license. </w:t>
      </w:r>
    </w:p>
    <w:p w:rsidR="009C63AA" w:rsidRDefault="00E83D4F">
      <w:pPr>
        <w:spacing w:after="120" w:line="240" w:lineRule="auto"/>
        <w:rPr>
          <w:b/>
        </w:rPr>
      </w:pPr>
      <w:r>
        <w:rPr>
          <w:b/>
        </w:rPr>
        <w:t>ICANN contractual language in RAA relating to OFAC license</w:t>
      </w:r>
      <w:r>
        <w:rPr>
          <w:b/>
        </w:rPr>
        <w:t>s</w:t>
      </w:r>
    </w:p>
    <w:p w:rsidR="009C63AA" w:rsidRDefault="00E83D4F">
      <w:pPr>
        <w:shd w:val="clear" w:color="auto" w:fill="FFFFFF"/>
        <w:spacing w:after="120" w:line="240" w:lineRule="auto"/>
      </w:pPr>
      <w:r>
        <w:t xml:space="preserve">Currently, the Registrar Accreditation Agreement states that “ICANN is under no obligation to seek [a license for a transaction with a non-SDN resident of a sanctioned country] and, in any given case, OFAC could decide not to issue a requested license.” </w:t>
      </w:r>
      <w:r>
        <w:t xml:space="preserve"> </w:t>
      </w:r>
    </w:p>
    <w:p w:rsidR="009C63AA" w:rsidRDefault="00E83D4F">
      <w:pPr>
        <w:shd w:val="clear" w:color="auto" w:fill="FFFFFF"/>
        <w:spacing w:after="120" w:line="240" w:lineRule="auto"/>
      </w:pPr>
      <w:r>
        <w:t>This is not an encouraging policy for potential registrars from sanctioned countries, even though ICANN mentions that it has sought such licenses in the past.  If ICANN chose to exercise its discretion and not seek a license in any given case, this would</w:t>
      </w:r>
      <w:r>
        <w:t xml:space="preserve"> have the effect of hampering ICANN’s ability to provide services, inconsistent with the spirit if not the letter of ICANN’s Mission.  ICANN likely could not be held accountable for this decision under the current set-up, because the contractual language g</w:t>
      </w:r>
      <w:r>
        <w:t>ives ICANN unfettered discretion to decline to seek a license, without any indication of the criteria ICANN would use to make that determination.</w:t>
      </w:r>
    </w:p>
    <w:p w:rsidR="009C63AA" w:rsidRDefault="00E83D4F">
      <w:pPr>
        <w:shd w:val="clear" w:color="auto" w:fill="FFFFFF"/>
        <w:spacing w:after="120" w:line="240" w:lineRule="auto"/>
        <w:rPr>
          <w:b/>
          <w:i/>
          <w:color w:val="222222"/>
        </w:rPr>
      </w:pPr>
      <w:r>
        <w:rPr>
          <w:b/>
          <w:i/>
          <w:color w:val="222222"/>
        </w:rPr>
        <w:t>Recommendation</w:t>
      </w:r>
    </w:p>
    <w:p w:rsidR="009C63AA" w:rsidRDefault="00E83D4F">
      <w:pPr>
        <w:shd w:val="clear" w:color="auto" w:fill="FFFFFF"/>
        <w:spacing w:after="120" w:line="240" w:lineRule="auto"/>
        <w:rPr>
          <w:color w:val="222222"/>
        </w:rPr>
      </w:pPr>
      <w:r>
        <w:t>Currently, the RAA reads as follows: </w:t>
      </w:r>
    </w:p>
    <w:p w:rsidR="009C63AA" w:rsidRDefault="00E83D4F">
      <w:pPr>
        <w:shd w:val="clear" w:color="auto" w:fill="FFFFFF"/>
        <w:spacing w:after="120" w:line="240" w:lineRule="auto"/>
        <w:ind w:left="720"/>
        <w:rPr>
          <w:b/>
        </w:rPr>
      </w:pPr>
      <w:r>
        <w:rPr>
          <w:b/>
        </w:rPr>
        <w:t>” 4. Application Process.</w:t>
      </w:r>
    </w:p>
    <w:p w:rsidR="009C63AA" w:rsidRDefault="00E83D4F">
      <w:pPr>
        <w:shd w:val="clear" w:color="auto" w:fill="FFFFFF"/>
        <w:spacing w:after="120" w:line="240" w:lineRule="auto"/>
        <w:ind w:left="720"/>
      </w:pPr>
      <w:bookmarkStart w:id="17" w:name="_gjdgxs" w:colFirst="0" w:colLast="0"/>
      <w:bookmarkEnd w:id="17"/>
      <w:r>
        <w:t>Applicant acknowledges that ICA</w:t>
      </w:r>
      <w:r>
        <w:t>NN must comply with all U.S. laws, rules, and regulations. One such set of regulations is the economic and trade sanctions program administered by the Office of Foreign Assets Control ("OFAC") of the U.S. Department of the Treasury. These sanctions have be</w:t>
      </w:r>
      <w:r>
        <w:t>en imposed on certain countries, as well as individuals and entities that appear on OFAC's List of Specially Designated Nationals and Blocked Persons (the "SDN List"). ICANN is prohibited from providing most goods or services to residents of sanctioned cou</w:t>
      </w:r>
      <w:r>
        <w:t>ntries or their governmental entities or to SDNs without an applicable U.S. government authorization or</w:t>
      </w:r>
      <w:r>
        <w:t xml:space="preserve"> e</w:t>
      </w:r>
      <w:r>
        <w:t xml:space="preserve">xemption. ICANN generally will not seek a license to provide goods or services to an individual or entity on the SDN List. In the past, when ICANN has </w:t>
      </w:r>
      <w:r>
        <w:t>been requested to provide services to individuals or entities that are not SDNs, but are residents of sanctioned countries, ICANN has sought and been granted licenses as required. </w:t>
      </w:r>
      <w:r>
        <w:rPr>
          <w:b/>
        </w:rPr>
        <w:t>However, Applicant acknowledges that ICANN is under no obligations to seek s</w:t>
      </w:r>
      <w:r>
        <w:rPr>
          <w:b/>
        </w:rPr>
        <w:t>uch licenses and, in any given case, OFAC could decide not to issue a requested license.</w:t>
      </w:r>
      <w:r>
        <w:t>” [Emphasis Added]</w:t>
      </w:r>
    </w:p>
    <w:p w:rsidR="009C63AA" w:rsidRDefault="00E83D4F">
      <w:pPr>
        <w:shd w:val="clear" w:color="auto" w:fill="FFFFFF"/>
        <w:spacing w:after="120" w:line="240" w:lineRule="auto"/>
      </w:pPr>
      <w:r>
        <w:t xml:space="preserve">The last sentence should be amended to require ICANN to apply for and </w:t>
      </w:r>
      <w:r>
        <w:t xml:space="preserve">use best efforts to secure </w:t>
      </w:r>
      <w:r>
        <w:t>an OFAC license if the other party is otherwise qual</w:t>
      </w:r>
      <w:r>
        <w:t xml:space="preserve">ified to be a registrar, unless ICANN makes a determination based on well-understood criteria that it is </w:t>
      </w:r>
      <w:del w:id="18" w:author="Greg Shatan" w:date="2017-09-18T12:17:00Z">
        <w:r>
          <w:delText xml:space="preserve">not </w:delText>
        </w:r>
      </w:del>
      <w:r>
        <w:t>inappropriate for ICANN to seek such a license.  ICANN and the community would need to develop these criteria and determine how they are applied, h</w:t>
      </w:r>
      <w:r>
        <w:t>ow the decision</w:t>
      </w:r>
      <w:ins w:id="19" w:author="Greg Shatan" w:date="2017-09-18T10:01:00Z">
        <w:r>
          <w:t xml:space="preserve"> w</w:t>
        </w:r>
        <w:r>
          <w:t>hether or not to apply</w:t>
        </w:r>
      </w:ins>
      <w:r>
        <w:t xml:space="preserve"> is communicated, and the options for the potential registrar if ICANN decides not to apply.  In line with that, the Subgroup recommends that such criteria be developed, and that a potential registrar in such a situat</w:t>
      </w:r>
      <w:r>
        <w:t xml:space="preserve">ion has the opportunity to escalate this decision to the Board in order to seek a reversal of the determination.  ICANN should also be instructed </w:t>
      </w:r>
      <w:r>
        <w:lastRenderedPageBreak/>
        <w:t>to be helpful and transparent with regard to the process of deciding to seek a license and the licensing proce</w:t>
      </w:r>
      <w:r>
        <w:t>ss itself</w:t>
      </w:r>
      <w:ins w:id="20" w:author="Greg Shatan" w:date="2017-09-18T10:01:00Z">
        <w:r>
          <w:t xml:space="preserve">, including </w:t>
        </w:r>
        <w:r>
          <w:t>ongoing</w:t>
        </w:r>
        <w:r>
          <w:t xml:space="preserve"> communication with th</w:t>
        </w:r>
        <w:r>
          <w:t>e potential registrar</w:t>
        </w:r>
      </w:ins>
      <w:r>
        <w:t>.</w:t>
      </w:r>
    </w:p>
    <w:p w:rsidR="009C63AA" w:rsidRDefault="00E83D4F">
      <w:pPr>
        <w:spacing w:after="120" w:line="240" w:lineRule="auto"/>
        <w:rPr>
          <w:del w:id="21" w:author="Greg Shatan" w:date="2017-09-18T11:42:00Z"/>
          <w:b/>
        </w:rPr>
      </w:pPr>
      <w:del w:id="22" w:author="Greg Shatan" w:date="2017-09-18T11:42:00Z">
        <w:r>
          <w:rPr>
            <w:b/>
          </w:rPr>
          <w:delText>Applicability of OFAC to Non-US Registrars</w:delText>
        </w:r>
      </w:del>
    </w:p>
    <w:p w:rsidR="009C63AA" w:rsidRDefault="00E83D4F">
      <w:pPr>
        <w:spacing w:after="120" w:line="240" w:lineRule="auto"/>
        <w:rPr>
          <w:del w:id="23" w:author="Greg Shatan" w:date="2017-09-18T11:42:00Z"/>
        </w:rPr>
      </w:pPr>
      <w:del w:id="24" w:author="Greg Shatan" w:date="2017-09-18T11:42:00Z">
        <w:r>
          <w:delText>•</w:delText>
        </w:r>
        <w:r>
          <w:tab/>
          <w:delText>Application of OFAC restrictions by Non-US Registrars</w:delText>
        </w:r>
      </w:del>
    </w:p>
    <w:p w:rsidR="009C63AA" w:rsidRDefault="00E83D4F">
      <w:pPr>
        <w:spacing w:after="120" w:line="240" w:lineRule="auto"/>
        <w:ind w:left="720" w:hanging="720"/>
      </w:pPr>
      <w:del w:id="25" w:author="Greg Shatan" w:date="2017-09-18T11:42:00Z">
        <w:r>
          <w:delText>•</w:delText>
        </w:r>
        <w:r>
          <w:tab/>
        </w:r>
        <w:r>
          <w:delText>Cancellation by some registrars of domain name registrations owned by registrants in countries subject to OFAC</w:delText>
        </w:r>
      </w:del>
    </w:p>
    <w:p w:rsidR="009C63AA" w:rsidRDefault="00E83D4F">
      <w:pPr>
        <w:spacing w:after="120" w:line="240" w:lineRule="auto"/>
      </w:pPr>
      <w:r>
        <w:rPr>
          <w:b/>
        </w:rPr>
        <w:t>Approval of gTLD registries</w:t>
      </w:r>
    </w:p>
    <w:p w:rsidR="009C63AA" w:rsidRDefault="00E83D4F">
      <w:r>
        <w:t>In the 2012 round of the New gTLD Program, it proved to be difficult for residents from countries subject to the US s</w:t>
      </w:r>
      <w:r>
        <w:t>anctions to file and make their way through the application process.  The AGB (Applicant Guidebook) states, in language highly reminiscent of the RAA: “In the past, when ICANN has been requested to provide services to individuals or entities that are not S</w:t>
      </w:r>
      <w:r>
        <w:t xml:space="preserve">DNs (specially designated nationals) but are residents of sanctioned countries, ICANN has sought and been granted licenses as required. In any given case, however, OFAC could </w:t>
      </w:r>
      <w:bookmarkStart w:id="26" w:name="_GoBack"/>
      <w:bookmarkEnd w:id="26"/>
      <w:r>
        <w:t>decide not to issue a requested license.”</w:t>
      </w:r>
      <w:r>
        <w:rPr>
          <w:vertAlign w:val="superscript"/>
        </w:rPr>
        <w:footnoteReference w:id="6"/>
      </w:r>
    </w:p>
    <w:p w:rsidR="009C63AA" w:rsidRDefault="00E83D4F">
      <w:r>
        <w:t>It is the Subgroup’s understanding tha</w:t>
      </w:r>
      <w:r>
        <w:t xml:space="preserve">t new gTLD applicants from sanctioned countries who are not on the SDNs list found that the process for requesting that ICANN apply for an OFAC license is not transparent, and that response times for ICANN replies felt quite lengthy.  In particular, ICANN </w:t>
      </w:r>
      <w:r>
        <w:t xml:space="preserve">apparently did not provide any indication that it had applied for an OFAC license.  Furthermore the process is quite lengthy, even if ICANN is proceeding with speed.  As a result, applicants may have felt they were in limbo. </w:t>
      </w:r>
    </w:p>
    <w:p w:rsidR="009C63AA" w:rsidRDefault="00E83D4F">
      <w:pPr>
        <w:rPr>
          <w:b/>
          <w:i/>
        </w:rPr>
      </w:pPr>
      <w:commentRangeStart w:id="27"/>
      <w:r>
        <w:rPr>
          <w:b/>
          <w:i/>
        </w:rPr>
        <w:t>Recommendation</w:t>
      </w:r>
      <w:commentRangeEnd w:id="27"/>
      <w:r>
        <w:commentReference w:id="27"/>
      </w:r>
    </w:p>
    <w:p w:rsidR="009C63AA" w:rsidRDefault="00E83D4F">
      <w:r>
        <w:t>ICANN should</w:t>
      </w:r>
      <w:r>
        <w:t xml:space="preserve"> commit to applying for </w:t>
      </w:r>
      <w:ins w:id="28" w:author="Greg Shatan" w:date="2017-09-18T12:16:00Z">
        <w:r>
          <w:t>and using best efforts to secure an</w:t>
        </w:r>
      </w:ins>
      <w:r>
        <w:t xml:space="preserve"> OFAC license for all such applicants</w:t>
      </w:r>
      <w:del w:id="29" w:author="Greg Shatan" w:date="2017-09-18T12:17:00Z">
        <w:r>
          <w:delText>,</w:delText>
        </w:r>
      </w:del>
      <w:r>
        <w:t xml:space="preserve"> </w:t>
      </w:r>
      <w:ins w:id="30" w:author="Greg Shatan" w:date="2017-09-18T12:16:00Z">
        <w:r>
          <w:t xml:space="preserve">if the applicant is otherwise qualified, unless ICANN makes a determination based on well-understood criteria that it is inappropriate for ICANN to seek such </w:t>
        </w:r>
        <w:r>
          <w:t>a license</w:t>
        </w:r>
        <w:r>
          <w:t>.</w:t>
        </w:r>
      </w:ins>
      <w:del w:id="31" w:author="Greg Shatan" w:date="2017-09-18T12:16:00Z">
        <w:r>
          <w:delText>unless it determines not to do so based on well-publicized criteria.  ICANN should commit to apply as promptly as possible, and to be informative and transparent throughout the process.</w:delText>
        </w:r>
      </w:del>
      <w:ins w:id="32" w:author="Greg Shatan" w:date="2017-09-18T12:16:00Z">
        <w:r>
          <w:t xml:space="preserve">  As with registrars</w:t>
        </w:r>
      </w:ins>
      <w:ins w:id="33" w:author="Greg Shatan" w:date="2017-09-18T12:18:00Z">
        <w:r>
          <w:t>, the Subgroup recommends that such crite</w:t>
        </w:r>
        <w:r>
          <w:t>ria be developed, and that an applicant in such a situation has the opportunity to escalate this decision to the Board in order to seek a reversal of the determination.  ICANN should also be instructed to be helpful and transparent with regard to the proce</w:t>
        </w:r>
        <w:r>
          <w:t>ss of deciding to seek a license and the licensing process itself, including ongoing communication with the applicant.</w:t>
        </w:r>
      </w:ins>
    </w:p>
    <w:p w:rsidR="009C63AA" w:rsidRDefault="00E83D4F">
      <w:pPr>
        <w:shd w:val="clear" w:color="auto" w:fill="FFFFFF"/>
        <w:spacing w:after="120" w:line="240" w:lineRule="auto"/>
        <w:rPr>
          <w:b/>
        </w:rPr>
      </w:pPr>
      <w:r>
        <w:rPr>
          <w:b/>
        </w:rPr>
        <w:t>Application of OFAC limitations by non-US registrars</w:t>
      </w:r>
    </w:p>
    <w:p w:rsidR="009C63AA" w:rsidRDefault="00E83D4F">
      <w:pPr>
        <w:shd w:val="clear" w:color="auto" w:fill="FFFFFF"/>
        <w:spacing w:after="120" w:line="240" w:lineRule="auto"/>
      </w:pPr>
      <w:bookmarkStart w:id="34" w:name="_30j0zll" w:colFirst="0" w:colLast="0"/>
      <w:bookmarkEnd w:id="34"/>
      <w:r>
        <w:t xml:space="preserve">It appears that some registrars might be following the rules of OFAC sanctions even </w:t>
      </w:r>
      <w:r>
        <w:t xml:space="preserve">when they are not based in the U.S and it would appear they are not required to do so.  The Subgroup was provided examples of </w:t>
      </w:r>
      <w:ins w:id="35" w:author="Greg Shatan" w:date="2017-09-18T11:04:00Z">
        <w:r>
          <w:t xml:space="preserve">two </w:t>
        </w:r>
      </w:ins>
      <w:r>
        <w:t>non-US registrars with registrant agreements that cited OFAC regulations.  One was </w:t>
      </w:r>
      <w:r>
        <w:t>Gesloten.cw,</w:t>
      </w:r>
      <w:ins w:id="36" w:author="Greg Shatan" w:date="2017-09-18T11:09:00Z">
        <w:r>
          <w:rPr>
            <w:vertAlign w:val="superscript"/>
          </w:rPr>
          <w:footnoteReference w:id="7"/>
        </w:r>
      </w:ins>
      <w:r>
        <w:t xml:space="preserve"> a registrar</w:t>
      </w:r>
      <w:r>
        <w:t> based in Curacao (Netherlands Antilles), which state</w:t>
      </w:r>
      <w:ins w:id="39" w:author="Greg Shatan" w:date="2017-09-18T10:18:00Z">
        <w:r>
          <w:t>d</w:t>
        </w:r>
      </w:ins>
      <w:del w:id="40" w:author="Greg Shatan" w:date="2017-09-18T10:18:00Z">
        <w:r>
          <w:delText>s</w:delText>
        </w:r>
      </w:del>
      <w:r>
        <w:t xml:space="preserve"> in its registrant </w:t>
      </w:r>
      <w:r>
        <w:lastRenderedPageBreak/>
        <w:t>agreement that it follows OFAC regulations in its legal agreement with the registrants.</w:t>
      </w:r>
      <w:r>
        <w:rPr>
          <w:vertAlign w:val="superscript"/>
        </w:rPr>
        <w:footnoteReference w:id="8"/>
      </w:r>
      <w:r>
        <w:t xml:space="preserve"> Similarly, Olipso,</w:t>
      </w:r>
      <w:ins w:id="41" w:author="Greg Shatan" w:date="2017-09-18T11:09:00Z">
        <w:r>
          <w:rPr>
            <w:vertAlign w:val="superscript"/>
          </w:rPr>
          <w:footnoteReference w:id="9"/>
        </w:r>
      </w:ins>
      <w:r>
        <w:t> </w:t>
      </w:r>
      <w:r>
        <w:t>a</w:t>
      </w:r>
      <w:del w:id="44" w:author="Greg Shatan" w:date="2017-09-18T11:10:00Z">
        <w:r>
          <w:delText>n ICANN accredited</w:delText>
        </w:r>
      </w:del>
      <w:r>
        <w:t xml:space="preserve"> registrar</w:t>
      </w:r>
      <w:r>
        <w:t xml:space="preserve"> based in Turkey (Atak Domain Hosting), </w:t>
      </w:r>
      <w:ins w:id="45" w:author="Greg Shatan" w:date="2017-09-18T10:19:00Z">
        <w:r>
          <w:t>als</w:t>
        </w:r>
        <w:r>
          <w:t xml:space="preserve">o </w:t>
        </w:r>
      </w:ins>
      <w:r>
        <w:t>state</w:t>
      </w:r>
      <w:del w:id="46" w:author="Greg Shatan" w:date="2017-09-18T10:19:00Z">
        <w:r>
          <w:delText>s</w:delText>
        </w:r>
      </w:del>
      <w:ins w:id="47" w:author="Greg Shatan" w:date="2017-09-18T10:19:00Z">
        <w:r>
          <w:t>d</w:t>
        </w:r>
      </w:ins>
      <w:r>
        <w:t xml:space="preserve"> in its registrant agreement that it prohibits persons located in sanctioned countries from using its services due to OFAC.</w:t>
      </w:r>
    </w:p>
    <w:p w:rsidR="009C63AA" w:rsidRDefault="00E83D4F">
      <w:pPr>
        <w:shd w:val="clear" w:color="auto" w:fill="FFFFFF"/>
        <w:spacing w:after="120" w:line="240" w:lineRule="auto"/>
        <w:rPr>
          <w:ins w:id="48" w:author="Greg Shatan" w:date="2017-09-18T11:06:00Z"/>
        </w:rPr>
      </w:pPr>
      <w:r>
        <w:t xml:space="preserve">It should be noted that both of these registrars seem to </w:t>
      </w:r>
      <w:ins w:id="49" w:author="Greg Shatan" w:date="2017-09-18T10:18:00Z">
        <w:r>
          <w:t xml:space="preserve">have </w:t>
        </w:r>
      </w:ins>
      <w:r>
        <w:t>be</w:t>
      </w:r>
      <w:ins w:id="50" w:author="Greg Shatan" w:date="2017-09-18T10:18:00Z">
        <w:r>
          <w:t>en</w:t>
        </w:r>
      </w:ins>
      <w:r>
        <w:t xml:space="preserve"> using a registrant agreement (i.e., the same agreement) that was “cut and pasted” from one or more third party sources, and was not created for either of these registrars.</w:t>
      </w:r>
      <w:r>
        <w:rPr>
          <w:vertAlign w:val="superscript"/>
        </w:rPr>
        <w:footnoteReference w:id="10"/>
      </w:r>
      <w:r>
        <w:t xml:space="preserve">  </w:t>
      </w:r>
      <w:commentRangeStart w:id="56"/>
      <w:commentRangeStart w:id="57"/>
      <w:r>
        <w:t xml:space="preserve">Thus, it </w:t>
      </w:r>
      <w:ins w:id="58" w:author="Greg Shatan" w:date="2017-09-18T11:06:00Z">
        <w:r>
          <w:t xml:space="preserve">appeared </w:t>
        </w:r>
      </w:ins>
      <w:del w:id="59" w:author="Greg Shatan" w:date="2017-09-18T11:06:00Z">
        <w:r>
          <w:delText>is</w:delText>
        </w:r>
      </w:del>
      <w:r>
        <w:t xml:space="preserve"> possible that these registrars </w:t>
      </w:r>
      <w:ins w:id="60" w:author="Greg Shatan" w:date="2017-09-18T11:12:00Z">
        <w:r>
          <w:t>were not aware that these ter</w:t>
        </w:r>
        <w:r>
          <w:t>ms were in the registrant agreeme</w:t>
        </w:r>
        <w:r>
          <w:t xml:space="preserve">nt and </w:t>
        </w:r>
      </w:ins>
      <w:r>
        <w:t>do not in fact follow OFAC regulations, even though the</w:t>
      </w:r>
      <w:ins w:id="61" w:author="Greg Shatan" w:date="2017-09-18T11:06:00Z">
        <w:r>
          <w:t>ir</w:t>
        </w:r>
      </w:ins>
      <w:del w:id="62" w:author="Greg Shatan" w:date="2017-09-18T11:06:00Z">
        <w:r>
          <w:delText>y say</w:delText>
        </w:r>
      </w:del>
      <w:ins w:id="63" w:author="Greg Shatan" w:date="2017-09-18T11:06:00Z">
        <w:r>
          <w:t xml:space="preserve"> registrant agreements indicated that</w:t>
        </w:r>
      </w:ins>
      <w:r>
        <w:t xml:space="preserve"> they do.</w:t>
      </w:r>
      <w:commentRangeEnd w:id="56"/>
      <w:ins w:id="64" w:author="Greg Shatan" w:date="2017-09-18T11:06:00Z">
        <w:r>
          <w:commentReference w:id="56"/>
        </w:r>
        <w:commentRangeEnd w:id="57"/>
        <w:r>
          <w:commentReference w:id="57"/>
        </w:r>
      </w:ins>
    </w:p>
    <w:p w:rsidR="009C63AA" w:rsidRDefault="00E83D4F">
      <w:pPr>
        <w:shd w:val="clear" w:color="auto" w:fill="FFFFFF"/>
        <w:spacing w:after="120" w:line="240" w:lineRule="auto"/>
      </w:pPr>
      <w:ins w:id="65" w:author="Greg Shatan" w:date="2017-09-18T11:06:00Z">
        <w:r>
          <w:t>Notably, one of the two registrars (Gesloten) has since revised its registrant agreement significantly, and removed any mention of OFAC restrictions.  This could indicate that the OFAC restrictions were included in these registrant agreements by mistake. o</w:t>
        </w:r>
        <w:r>
          <w:t>r that the registrar reviewed its policies and determined that OFAC restrictions did not apply it.  It is also possible that the other registrar (Ollipso) is, in fact, subject to OFAC compliance for reasons not known to the Subgroup.</w:t>
        </w:r>
      </w:ins>
    </w:p>
    <w:p w:rsidR="009C63AA" w:rsidRDefault="00E83D4F">
      <w:pPr>
        <w:rPr>
          <w:ins w:id="66" w:author="Greg Shatan" w:date="2017-09-18T11:17:00Z"/>
        </w:rPr>
      </w:pPr>
      <w:ins w:id="67" w:author="Greg Shatan" w:date="2017-09-18T12:23:00Z">
        <w:r>
          <w:t xml:space="preserve">More generally, </w:t>
        </w:r>
      </w:ins>
      <w:del w:id="68" w:author="Greg Shatan" w:date="2017-09-18T12:23:00Z">
        <w:r>
          <w:delText>I</w:delText>
        </w:r>
      </w:del>
      <w:ins w:id="69" w:author="Greg Shatan" w:date="2017-09-18T12:23:00Z">
        <w:r>
          <w:t>i</w:t>
        </w:r>
      </w:ins>
      <w:r>
        <w:t>t is</w:t>
      </w:r>
      <w:r>
        <w:t xml:space="preserve"> </w:t>
      </w:r>
      <w:del w:id="70" w:author="Greg Shatan" w:date="2017-09-18T12:23:00Z">
        <w:r>
          <w:delText xml:space="preserve">also </w:delText>
        </w:r>
      </w:del>
      <w:r>
        <w:t xml:space="preserve">possible that some non-US based registrars </w:t>
      </w:r>
      <w:ins w:id="71" w:author="Greg Shatan" w:date="2017-09-18T11:17:00Z">
        <w:r>
          <w:t xml:space="preserve">may </w:t>
        </w:r>
      </w:ins>
      <w:r>
        <w:t xml:space="preserve">apply OFAC restrictions even when they are not obliged to do so, merely based on an assumption that because of their contract with ICANN they have to apply OFAC sanctions.  </w:t>
      </w:r>
      <w:ins w:id="72" w:author="Greg Shatan" w:date="2017-09-18T11:17:00Z">
        <w:r>
          <w:t>The Subgroup is aware of claim</w:t>
        </w:r>
        <w:r>
          <w:t xml:space="preserve">s that this has happened; however, we have not yet seen any supporting data.  </w:t>
        </w:r>
      </w:ins>
    </w:p>
    <w:p w:rsidR="009C63AA" w:rsidRDefault="00E83D4F">
      <w:del w:id="73" w:author="Greg Shatan" w:date="2017-09-18T11:17:00Z">
        <w:r>
          <w:delText>While e</w:delText>
        </w:r>
      </w:del>
      <w:ins w:id="74" w:author="Greg Shatan" w:date="2017-09-18T11:17:00Z">
        <w:r>
          <w:t>E</w:t>
        </w:r>
      </w:ins>
      <w:r>
        <w:t xml:space="preserve">ach registrar must make their own legal determination of how OFAC restrictions apply. ICANN could provide a clarification to registrars that registrars do not have to follow OFAC sanctions solely on the basis of the existence of their contract with ICANN. </w:t>
      </w:r>
      <w:r>
        <w:t xml:space="preserve"> </w:t>
      </w:r>
      <w:del w:id="75" w:author="Greg Shatan" w:date="2017-09-18T11:22:00Z">
        <w:r>
          <w:delText>Of course</w:delText>
        </w:r>
      </w:del>
      <w:r>
        <w:t xml:space="preserve">, </w:t>
      </w:r>
      <w:ins w:id="76" w:author="Greg Shatan" w:date="2017-09-18T11:22:00Z">
        <w:r>
          <w:t xml:space="preserve">Since </w:t>
        </w:r>
      </w:ins>
      <w:r>
        <w:t xml:space="preserve">ICANN </w:t>
      </w:r>
      <w:ins w:id="77" w:author="Greg Shatan" w:date="2017-09-18T11:21:00Z">
        <w:r>
          <w:t>cannot</w:t>
        </w:r>
      </w:ins>
      <w:del w:id="78" w:author="Greg Shatan" w:date="2017-09-18T11:21:00Z">
        <w:r>
          <w:delText>is not in the business of</w:delText>
        </w:r>
      </w:del>
      <w:r>
        <w:t xml:space="preserve"> provid</w:t>
      </w:r>
      <w:ins w:id="79" w:author="Greg Shatan" w:date="2017-09-18T11:21:00Z">
        <w:r>
          <w:t>e</w:t>
        </w:r>
      </w:ins>
      <w:del w:id="80" w:author="Greg Shatan" w:date="2017-09-18T11:21:00Z">
        <w:r>
          <w:delText>i</w:delText>
        </w:r>
      </w:del>
      <w:ins w:id="81" w:author="Greg Shatan" w:date="2017-09-18T11:21:00Z">
        <w:del w:id="82" w:author="Greg Shatan" w:date="2017-09-18T11:21:00Z">
          <w:r>
            <w:delText>e</w:delText>
          </w:r>
        </w:del>
      </w:ins>
      <w:del w:id="83" w:author="Greg Shatan" w:date="2017-09-18T11:21:00Z">
        <w:r>
          <w:delText>ng</w:delText>
        </w:r>
      </w:del>
      <w:r>
        <w:t xml:space="preserve"> legal advice</w:t>
      </w:r>
      <w:ins w:id="84" w:author="Greg Shatan" w:date="2017-09-18T11:21:00Z">
        <w:r>
          <w:t xml:space="preserve"> to registrars</w:t>
        </w:r>
      </w:ins>
      <w:r>
        <w:t xml:space="preserve">, </w:t>
      </w:r>
      <w:del w:id="85" w:author="Greg Shatan" w:date="2017-09-18T11:23:00Z">
        <w:r>
          <w:delText xml:space="preserve">so </w:delText>
        </w:r>
      </w:del>
      <w:r>
        <w:t xml:space="preserve">this would need to be accompanied by a </w:t>
      </w:r>
      <w:ins w:id="86" w:author="Greg Shatan" w:date="2017-09-18T11:24:00Z">
        <w:r>
          <w:t>statement that this is not legal advice, and</w:t>
        </w:r>
      </w:ins>
      <w:del w:id="87" w:author="Greg Shatan" w:date="2017-09-18T11:24:00Z">
        <w:r>
          <w:delText>recommendation</w:delText>
        </w:r>
      </w:del>
      <w:r>
        <w:t xml:space="preserve"> that each registrar </w:t>
      </w:r>
      <w:ins w:id="88" w:author="Greg Shatan" w:date="2017-09-18T11:24:00Z">
        <w:r>
          <w:t xml:space="preserve">should </w:t>
        </w:r>
      </w:ins>
      <w:r>
        <w:t xml:space="preserve">seek legal counsel </w:t>
      </w:r>
      <w:ins w:id="89" w:author="Greg Shatan" w:date="2017-09-18T11:24:00Z">
        <w:r>
          <w:t>regarding whe</w:t>
        </w:r>
        <w:r>
          <w:t>ther OFAC (or non-U.S.) sanctions apply to their business.</w:t>
        </w:r>
      </w:ins>
      <w:del w:id="90" w:author="Greg Shatan" w:date="2017-09-18T11:24:00Z">
        <w:r>
          <w:delText>on the matter to avoid liability</w:delText>
        </w:r>
      </w:del>
      <w:r>
        <w:t>.</w:t>
      </w:r>
    </w:p>
    <w:p w:rsidR="009C63AA" w:rsidRDefault="00E83D4F">
      <w:pPr>
        <w:shd w:val="clear" w:color="auto" w:fill="FFFFFF"/>
        <w:spacing w:after="120" w:line="240" w:lineRule="auto"/>
      </w:pPr>
      <w:del w:id="91" w:author="Greg Shatan" w:date="2017-09-18T11:22:00Z">
        <w:r>
          <w:delText>[DO WE HAVE MORE CONCRETE OR PROVEN EXAMPLES OF THIS ISSUE?]</w:delText>
        </w:r>
      </w:del>
    </w:p>
    <w:p w:rsidR="009C63AA" w:rsidRDefault="00E83D4F">
      <w:pPr>
        <w:shd w:val="clear" w:color="auto" w:fill="FFFFFF"/>
        <w:tabs>
          <w:tab w:val="left" w:pos="2610"/>
        </w:tabs>
        <w:spacing w:after="120" w:line="240" w:lineRule="auto"/>
      </w:pPr>
      <w:r>
        <w:t>Nonetheless, if registrars that are not based in the U.S. and do not have OFAC compliance obligations a</w:t>
      </w:r>
      <w:r>
        <w:t>re nonetheless prohibiting registrants in sanctioned countries from using their services</w:t>
      </w:r>
      <w:ins w:id="92" w:author="Greg Shatan" w:date="2017-09-18T11:26:00Z">
        <w:r>
          <w:t xml:space="preserve"> based on </w:t>
        </w:r>
        <w:r>
          <w:t>a mistaken belief that OFAC sanctions apply</w:t>
        </w:r>
      </w:ins>
      <w:r>
        <w:t xml:space="preserve">, that raises </w:t>
      </w:r>
      <w:del w:id="93" w:author="Greg Shatan" w:date="2017-09-18T11:27:00Z">
        <w:r>
          <w:delText xml:space="preserve">significant </w:delText>
        </w:r>
      </w:del>
      <w:r>
        <w:t>concerns with the availability of Internet resources on a global and neutral basis.</w:t>
      </w:r>
      <w:ins w:id="94" w:author="Greg Shatan" w:date="2017-09-18T11:27:00Z">
        <w:r>
          <w:t xml:space="preserve">  </w:t>
        </w:r>
        <w:r>
          <w:t>Although it is plausible that this has occurred or could occur in the future, the Subgroup has no clear evidence that this has occurred.  In any event, the solution lies with the relevant registrars, who should clarify whether they need to comply with OFAC</w:t>
        </w:r>
        <w:r>
          <w:t xml:space="preserve"> sanctions.</w:t>
        </w:r>
      </w:ins>
    </w:p>
    <w:p w:rsidR="009C63AA" w:rsidRDefault="00E83D4F">
      <w:pPr>
        <w:rPr>
          <w:b/>
          <w:i/>
        </w:rPr>
      </w:pPr>
      <w:r>
        <w:rPr>
          <w:b/>
          <w:i/>
        </w:rPr>
        <w:lastRenderedPageBreak/>
        <w:t>Recommendation</w:t>
      </w:r>
    </w:p>
    <w:p w:rsidR="009C63AA" w:rsidRDefault="00E83D4F">
      <w:r>
        <w:t xml:space="preserve">ICANN is not a party to </w:t>
      </w:r>
      <w:del w:id="95" w:author="Greg Shatan" w:date="2017-09-18T11:43:00Z">
        <w:r>
          <w:delText xml:space="preserve">the </w:delText>
        </w:r>
      </w:del>
      <w:r>
        <w:t>registrant agreement</w:t>
      </w:r>
      <w:ins w:id="96" w:author="Greg Shatan" w:date="2017-09-18T11:43:00Z">
        <w:r>
          <w:t>s</w:t>
        </w:r>
      </w:ins>
      <w:r>
        <w:t>, so there is nothing ICANN can do directly.</w:t>
      </w:r>
      <w:ins w:id="97" w:author="Greg Shatan" w:date="2017-09-18T11:31:00Z">
        <w:r>
          <w:t xml:space="preserve">  Furthermore, ICANN cannot provide legal advice to registrars.</w:t>
        </w:r>
      </w:ins>
      <w:r>
        <w:t xml:space="preserve">  However, ICANN could bring awareness to this issue with registrars, and could </w:t>
      </w:r>
      <w:ins w:id="98" w:author="Greg Shatan" w:date="2017-09-18T11:31:00Z">
        <w:r>
          <w:t>consider</w:t>
        </w:r>
      </w:ins>
      <w:del w:id="99" w:author="Greg Shatan" w:date="2017-09-18T11:31:00Z">
        <w:r>
          <w:delText>seek</w:delText>
        </w:r>
      </w:del>
      <w:r>
        <w:t xml:space="preserve"> various tools to </w:t>
      </w:r>
      <w:ins w:id="100" w:author="Greg Shatan" w:date="2017-09-18T12:27:00Z">
        <w:r>
          <w:t>remind</w:t>
        </w:r>
      </w:ins>
      <w:del w:id="101" w:author="Greg Shatan" w:date="2017-09-18T12:27:00Z">
        <w:r>
          <w:delText>encourage</w:delText>
        </w:r>
      </w:del>
      <w:r>
        <w:t xml:space="preserve"> registrars to accurately reflect the applicable law under which they operate.</w:t>
      </w:r>
    </w:p>
    <w:p w:rsidR="009C63AA" w:rsidRDefault="00E83D4F">
      <w:r>
        <w:rPr>
          <w:b/>
        </w:rPr>
        <w:t>General Licenses</w:t>
      </w:r>
    </w:p>
    <w:p w:rsidR="009C63AA" w:rsidRDefault="00E83D4F">
      <w:pPr>
        <w:spacing w:after="120" w:line="240" w:lineRule="auto"/>
      </w:pPr>
      <w:r>
        <w:t>In contrast to specific licenses, a</w:t>
      </w:r>
      <w:r>
        <w:t xml:space="preserve"> general license covers classes of persons and types of transactions.  ICANN could consider seeking one or more general licenses to cover particular classes of persons and types of transactions that are an integral part of ICANN’s role in managing the DNS </w:t>
      </w:r>
      <w:r>
        <w:t xml:space="preserve">and in contracting with third parties to provide Internet resources.  Broadly speaking, these licenses could apply to registries and registrars entering into RAs and RAAs, respectively, and to other transactions that may be core functions for ICANN (e.g., </w:t>
      </w:r>
      <w:r>
        <w:t>Privacy/Proxy Accreditation, support for ICANN funded travelers, etc.).</w:t>
      </w:r>
    </w:p>
    <w:p w:rsidR="009C63AA" w:rsidRDefault="00E83D4F">
      <w:pPr>
        <w:shd w:val="clear" w:color="auto" w:fill="FFFFFF"/>
        <w:spacing w:after="120" w:line="240" w:lineRule="auto"/>
      </w:pPr>
      <w:r>
        <w:t>Creation of a general license involves a regulatory process, which is in the purview of the executive branch (more specifically, the U.S. Treasury, of which OFAC is a part). Indeed, 31</w:t>
      </w:r>
      <w:r>
        <w:t xml:space="preserve"> CFR § 595.305 defines a general license as “any license or authorization the terms of which are set forth in this part.”  In other words, the general license is a part of the OFAC regulations.</w:t>
      </w:r>
    </w:p>
    <w:p w:rsidR="009C63AA" w:rsidRDefault="00E83D4F">
      <w:pPr>
        <w:shd w:val="clear" w:color="auto" w:fill="FFFFFF"/>
        <w:spacing w:after="120" w:line="240" w:lineRule="auto"/>
      </w:pPr>
      <w:r>
        <w:t>As such, one does not merely “apply” for a general license.  O</w:t>
      </w:r>
      <w:r>
        <w:t xml:space="preserve">ne must </w:t>
      </w:r>
      <w:ins w:id="102" w:author="Greg Shatan" w:date="2017-09-18T11:34:00Z">
        <w:r>
          <w:t xml:space="preserve">determine the desired </w:t>
        </w:r>
        <w:r>
          <w:t xml:space="preserve">parameters of the the general license(s)  and </w:t>
        </w:r>
      </w:ins>
      <w:r>
        <w:t xml:space="preserve">work with the U.S. </w:t>
      </w:r>
      <w:ins w:id="103" w:author="Greg Shatan" w:date="2017-09-18T11:33:00Z">
        <w:r>
          <w:t xml:space="preserve">Department of the </w:t>
        </w:r>
      </w:ins>
      <w:r>
        <w:t>Treasury and provide appropriate reasoning, support, etc. so that the Treasury undertakes the regulatory effort to bring the general license in</w:t>
      </w:r>
      <w:r>
        <w:t>to being.</w:t>
      </w:r>
    </w:p>
    <w:p w:rsidR="009C63AA" w:rsidRDefault="00E83D4F">
      <w:pPr>
        <w:shd w:val="clear" w:color="auto" w:fill="FFFFFF"/>
        <w:spacing w:after="120" w:line="240" w:lineRule="auto"/>
        <w:rPr>
          <w:ins w:id="104" w:author="Greg Shatan" w:date="2017-09-18T11:56:00Z"/>
        </w:rPr>
      </w:pPr>
      <w:ins w:id="105" w:author="Greg Shatan" w:date="2017-09-18T11:34:00Z">
        <w:r>
          <w:t>The Subgroup believes that one or more general licenses could make future transactions with “covered persons” easier to consummate</w:t>
        </w:r>
        <w:r>
          <w:t xml:space="preserve">.  </w:t>
        </w:r>
      </w:ins>
      <w:del w:id="106" w:author="Greg Shatan" w:date="2017-09-18T11:34:00Z">
        <w:r>
          <w:delText>Since t</w:delText>
        </w:r>
      </w:del>
      <w:ins w:id="107" w:author="Greg Shatan" w:date="2017-09-18T11:34:00Z">
        <w:r>
          <w:t>However, t</w:t>
        </w:r>
      </w:ins>
      <w:r>
        <w:t>his is a significant undertaking</w:t>
      </w:r>
      <w:ins w:id="108" w:author="Greg Shatan" w:date="2017-09-18T11:34:00Z">
        <w:r>
          <w:t xml:space="preserve"> in terms of time and expense.</w:t>
        </w:r>
      </w:ins>
      <w:del w:id="109" w:author="Greg Shatan" w:date="2017-09-18T11:34:00Z">
        <w:r>
          <w:delText xml:space="preserve">, </w:delText>
        </w:r>
      </w:del>
      <w:ins w:id="110" w:author="Greg Shatan" w:date="2017-09-18T11:34:00Z">
        <w:r>
          <w:t xml:space="preserve"> As</w:t>
        </w:r>
        <w:r>
          <w:t xml:space="preserve"> such, </w:t>
        </w:r>
      </w:ins>
      <w:r>
        <w:t xml:space="preserve">it would be premature </w:t>
      </w:r>
      <w:r>
        <w:t xml:space="preserve">to </w:t>
      </w:r>
      <w:ins w:id="111" w:author="Greg Shatan" w:date="2017-09-18T11:50:00Z">
        <w:r>
          <w:t>s</w:t>
        </w:r>
        <w:r>
          <w:t xml:space="preserve">imply </w:t>
        </w:r>
      </w:ins>
      <w:r>
        <w:t xml:space="preserve">recommend that ICANN </w:t>
      </w:r>
      <w:ins w:id="112" w:author="Greg Shatan" w:date="2017-09-18T11:51:00Z">
        <w:r>
          <w:t xml:space="preserve">must </w:t>
        </w:r>
      </w:ins>
      <w:r>
        <w:t>pursue a general license.</w:t>
      </w:r>
      <w:ins w:id="113" w:author="Greg Shatan" w:date="2017-09-18T11:51:00Z">
        <w:r>
          <w:t xml:space="preserve">  Rather, </w:t>
        </w:r>
        <w:r>
          <w:t>i</w:t>
        </w:r>
        <w:r>
          <w:t>t would be prudent to first advise ICANN to</w:t>
        </w:r>
        <w:del w:id="114" w:author="Greg Shatan" w:date="2017-09-18T11:51:00Z">
          <w:r>
            <w:delText xml:space="preserve"> </w:delText>
          </w:r>
        </w:del>
      </w:ins>
      <w:del w:id="115" w:author="Greg Shatan" w:date="2017-09-18T11:51:00Z">
        <w:r>
          <w:delText xml:space="preserve">  Rather, the Subgroup recommends that ICANN make it a priority</w:delText>
        </w:r>
      </w:del>
      <w:r>
        <w:t xml:space="preserve"> to study the costs, benefits, timeline and specifics of seeking and securing one or more general licenses for DNS-related transactions.  ICANN would also need to determine the specific classes of persons and types of transactions that would be covered by </w:t>
      </w:r>
      <w:r>
        <w:t>the license.  Depending on the outcome, ICANN could then begin the process of seeking these general licenses.</w:t>
      </w:r>
    </w:p>
    <w:p w:rsidR="009C63AA" w:rsidRDefault="00E83D4F">
      <w:pPr>
        <w:shd w:val="clear" w:color="auto" w:fill="FFFFFF"/>
        <w:spacing w:after="120" w:line="240" w:lineRule="auto"/>
        <w:rPr>
          <w:ins w:id="116" w:author="Greg Shatan" w:date="2017-09-18T11:56:00Z"/>
        </w:rPr>
      </w:pPr>
      <w:ins w:id="117" w:author="Greg Shatan" w:date="2017-09-18T11:56:00Z">
        <w:r w:rsidRPr="00CD3A69">
          <w:rPr>
            <w:b/>
            <w:i/>
          </w:rPr>
          <w:t>Recommendation</w:t>
        </w:r>
      </w:ins>
    </w:p>
    <w:p w:rsidR="009C63AA" w:rsidRDefault="00E83D4F">
      <w:pPr>
        <w:shd w:val="clear" w:color="auto" w:fill="FFFFFF"/>
        <w:spacing w:after="120" w:line="240" w:lineRule="auto"/>
        <w:rPr>
          <w:ins w:id="118" w:author="Greg Shatan" w:date="2017-09-18T01:32:00Z"/>
        </w:rPr>
      </w:pPr>
      <w:ins w:id="119" w:author="Greg Shatan" w:date="2017-09-18T11:56:00Z">
        <w:r>
          <w:t>ICANN should take steps to pursue one or more OFAC “general licenses” with the U.S. Department of Treasury in connection with DNS-r</w:t>
        </w:r>
        <w:r>
          <w:t>elated transactions.  Initially, ICANN should make it a priority to study the costs, benefits, timeline and specifics (including likelihood of success) of seeking and securing one or more general licenses for DNS-related transactions.  ICANN should then pu</w:t>
        </w:r>
        <w:r>
          <w:t xml:space="preserve">rsue one or more OFAC general licenses, unless the results of the study demonstrate that it would be inappropriate for ICANN to pursue these licenses.    </w:t>
        </w:r>
      </w:ins>
    </w:p>
    <w:p w:rsidR="00CD3A69" w:rsidRDefault="00CD3A69">
      <w:pPr>
        <w:shd w:val="clear" w:color="auto" w:fill="FFFFFF"/>
        <w:spacing w:after="120" w:line="240" w:lineRule="auto"/>
      </w:pPr>
    </w:p>
    <w:p w:rsidR="009C63AA" w:rsidRDefault="00E83D4F">
      <w:pPr>
        <w:spacing w:after="120" w:line="240" w:lineRule="auto"/>
        <w:rPr>
          <w:del w:id="120" w:author="Greg Shatan" w:date="2017-09-18T11:33:00Z"/>
          <w:sz w:val="20"/>
          <w:szCs w:val="20"/>
        </w:rPr>
      </w:pPr>
      <w:commentRangeStart w:id="121"/>
      <w:del w:id="122" w:author="Greg Shatan" w:date="2017-09-18T11:33:00Z">
        <w:r>
          <w:rPr>
            <w:sz w:val="20"/>
            <w:szCs w:val="20"/>
          </w:rPr>
          <w:delText>Domain name registrants in countries subject to U.S. sanctions have been struggling with the arbitrar</w:delText>
        </w:r>
        <w:r>
          <w:rPr>
            <w:sz w:val="20"/>
            <w:szCs w:val="20"/>
          </w:rPr>
          <w:delText>y cancellation of their domain names by some registrars</w:delText>
        </w:r>
        <w:r>
          <w:rPr>
            <w:i/>
            <w:sz w:val="20"/>
            <w:szCs w:val="20"/>
          </w:rPr>
          <w:delText>.” Some registrars (both American and non-American) might stop providing services to countries sanctioned under the Office of Foreign Affairs Control (OFAC) regime. Sometimes they do this without prior</w:delText>
        </w:r>
        <w:r>
          <w:rPr>
            <w:i/>
            <w:sz w:val="20"/>
            <w:szCs w:val="20"/>
          </w:rPr>
          <w:delText xml:space="preserve"> notice”</w:delText>
        </w:r>
      </w:del>
    </w:p>
    <w:p w:rsidR="009C63AA" w:rsidRDefault="00E83D4F">
      <w:pPr>
        <w:spacing w:after="120" w:line="240" w:lineRule="auto"/>
        <w:rPr>
          <w:del w:id="123" w:author="Greg Shatan" w:date="2017-09-18T11:33:00Z"/>
          <w:sz w:val="20"/>
          <w:szCs w:val="20"/>
        </w:rPr>
      </w:pPr>
      <w:del w:id="124" w:author="Greg Shatan" w:date="2017-09-18T11:33:00Z">
        <w:r>
          <w:rPr>
            <w:sz w:val="20"/>
            <w:szCs w:val="20"/>
          </w:rPr>
          <w:lastRenderedPageBreak/>
          <w:delText xml:space="preserve">For some, if not all, countries which are under OFAC sanction </w:delText>
        </w:r>
        <w:r>
          <w:rPr>
            <w:i/>
            <w:sz w:val="20"/>
            <w:szCs w:val="20"/>
          </w:rPr>
          <w:delText>“the general license that authorizes export of certain services and software Incident to Internet-Based communications excludes domain name registration services”</w:delText>
        </w:r>
      </w:del>
    </w:p>
    <w:p w:rsidR="009C63AA" w:rsidRDefault="00E83D4F">
      <w:pPr>
        <w:spacing w:after="120" w:line="240" w:lineRule="auto"/>
        <w:rPr>
          <w:sz w:val="20"/>
          <w:szCs w:val="20"/>
        </w:rPr>
      </w:pPr>
      <w:del w:id="125" w:author="Greg Shatan" w:date="2017-09-18T11:33:00Z">
        <w:r>
          <w:rPr>
            <w:sz w:val="20"/>
            <w:szCs w:val="20"/>
          </w:rPr>
          <w:delText xml:space="preserve">At first glance, this </w:delText>
        </w:r>
        <w:r>
          <w:rPr>
            <w:sz w:val="20"/>
            <w:szCs w:val="20"/>
          </w:rPr>
          <w:delText xml:space="preserve">might not appear to be a major problem. Domain name registrants usually have the ability to move to another registrar, and the problem only exists for American registrars. </w:delText>
        </w:r>
        <w:commentRangeStart w:id="126"/>
        <w:commentRangeStart w:id="127"/>
        <w:commentRangeStart w:id="128"/>
        <w:r>
          <w:rPr>
            <w:sz w:val="20"/>
            <w:szCs w:val="20"/>
          </w:rPr>
          <w:delText>The interesting question, however, is whether registrars that are based in another c</w:delText>
        </w:r>
        <w:r>
          <w:rPr>
            <w:sz w:val="20"/>
            <w:szCs w:val="20"/>
          </w:rPr>
          <w:delText>ountry are also subject to OFAC because of their contractual relationship with ICAN</w:delText>
        </w:r>
        <w:commentRangeEnd w:id="126"/>
        <w:r>
          <w:commentReference w:id="126"/>
        </w:r>
        <w:commentRangeEnd w:id="127"/>
        <w:r>
          <w:commentReference w:id="127"/>
        </w:r>
        <w:commentRangeEnd w:id="128"/>
        <w:r>
          <w:commentReference w:id="128"/>
        </w:r>
        <w:r>
          <w:rPr>
            <w:sz w:val="20"/>
            <w:szCs w:val="20"/>
          </w:rPr>
          <w:delText>N.</w:delText>
        </w:r>
      </w:del>
      <w:commentRangeEnd w:id="121"/>
      <w:r>
        <w:commentReference w:id="121"/>
      </w:r>
    </w:p>
    <w:sectPr w:rsidR="009C63AA">
      <w:headerReference w:type="default" r:id="rId9"/>
      <w:footerReference w:type="default" r:id="rId10"/>
      <w:headerReference w:type="first" r:id="rId11"/>
      <w:footerReference w:type="first" r:id="rId12"/>
      <w:pgSz w:w="12240" w:h="15840"/>
      <w:pgMar w:top="1440" w:right="1440" w:bottom="1440" w:left="1440" w:header="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Paul Rosenzweig" w:date="2017-09-18T01:32:00Z" w:initials="">
    <w:p w:rsidR="009C63AA" w:rsidRDefault="00E83D4F">
      <w:pPr>
        <w:widowControl w:val="0"/>
        <w:spacing w:after="0" w:line="240" w:lineRule="auto"/>
        <w:rPr>
          <w:rFonts w:ascii="Arial" w:eastAsia="Arial" w:hAnsi="Arial" w:cs="Arial"/>
        </w:rPr>
      </w:pPr>
      <w:r>
        <w:rPr>
          <w:rFonts w:ascii="Arial" w:eastAsia="Arial" w:hAnsi="Arial" w:cs="Arial"/>
        </w:rPr>
        <w:t>I believe this is incomplete.  As I read the implementing regulations OFAC restrictions apply to all "persons or entities within</w:t>
      </w:r>
      <w:r>
        <w:rPr>
          <w:rFonts w:ascii="Arial" w:eastAsia="Arial" w:hAnsi="Arial" w:cs="Arial"/>
        </w:rPr>
        <w:t xml:space="preserve"> the United States."  My understanding is that foreign entities with US based branches are also potentially covered.</w:t>
      </w:r>
    </w:p>
  </w:comment>
  <w:comment w:id="9" w:author="Greg Shatan" w:date="2017-09-18T01:32:00Z" w:initials="">
    <w:p w:rsidR="009C63AA" w:rsidRDefault="00E83D4F">
      <w:pPr>
        <w:widowControl w:val="0"/>
        <w:spacing w:after="0" w:line="240" w:lineRule="auto"/>
        <w:rPr>
          <w:rFonts w:ascii="Arial" w:eastAsia="Arial" w:hAnsi="Arial" w:cs="Arial"/>
        </w:rPr>
      </w:pPr>
      <w:r>
        <w:rPr>
          <w:rFonts w:ascii="Arial" w:eastAsia="Arial" w:hAnsi="Arial" w:cs="Arial"/>
        </w:rPr>
        <w:t>As noted on last week's call, it is probably cleaner to use a quote from the OFAC website instead of preparing our own summary on this poin</w:t>
      </w:r>
      <w:r>
        <w:rPr>
          <w:rFonts w:ascii="Arial" w:eastAsia="Arial" w:hAnsi="Arial" w:cs="Arial"/>
        </w:rPr>
        <w:t>t.  This change has been made.</w:t>
      </w:r>
    </w:p>
  </w:comment>
  <w:comment w:id="27" w:author="Greg Shatan" w:date="2017-09-18T01:32:00Z" w:initials="">
    <w:p w:rsidR="009C63AA" w:rsidRDefault="00E83D4F">
      <w:pPr>
        <w:widowControl w:val="0"/>
        <w:spacing w:after="0" w:line="240" w:lineRule="auto"/>
        <w:rPr>
          <w:rFonts w:ascii="Arial" w:eastAsia="Arial" w:hAnsi="Arial" w:cs="Arial"/>
        </w:rPr>
      </w:pPr>
      <w:r>
        <w:rPr>
          <w:rFonts w:ascii="Arial" w:eastAsia="Arial" w:hAnsi="Arial" w:cs="Arial"/>
        </w:rPr>
        <w:t>Changes made to harmonize the language of this recommendation with the language of the first recommendation.</w:t>
      </w:r>
    </w:p>
  </w:comment>
  <w:comment w:id="56" w:author="Paul Rosenzweig" w:date="2017-09-18T01:32:00Z" w:initials="">
    <w:p w:rsidR="009C63AA" w:rsidRDefault="00E83D4F">
      <w:pPr>
        <w:widowControl w:val="0"/>
        <w:spacing w:after="0" w:line="240" w:lineRule="auto"/>
        <w:rPr>
          <w:rFonts w:ascii="Arial" w:eastAsia="Arial" w:hAnsi="Arial" w:cs="Arial"/>
        </w:rPr>
      </w:pPr>
      <w:r>
        <w:rPr>
          <w:rFonts w:ascii="Arial" w:eastAsia="Arial" w:hAnsi="Arial" w:cs="Arial"/>
        </w:rPr>
        <w:t>While the language is inapt, vel non, shouldn't we have an indication from someone somewhere that this is an actual problem before making an issue out of it?</w:t>
      </w:r>
    </w:p>
  </w:comment>
  <w:comment w:id="57" w:author="Greg Shatan" w:date="2017-09-18T01:32:00Z" w:initials="">
    <w:p w:rsidR="009C63AA" w:rsidRDefault="00E83D4F">
      <w:pPr>
        <w:widowControl w:val="0"/>
        <w:spacing w:after="0" w:line="240" w:lineRule="auto"/>
        <w:rPr>
          <w:rFonts w:ascii="Arial" w:eastAsia="Arial" w:hAnsi="Arial" w:cs="Arial"/>
        </w:rPr>
      </w:pPr>
      <w:r>
        <w:rPr>
          <w:rFonts w:ascii="Arial" w:eastAsia="Arial" w:hAnsi="Arial" w:cs="Arial"/>
        </w:rPr>
        <w:t>It would help if someone would check if these two registrars enforc</w:t>
      </w:r>
      <w:r>
        <w:rPr>
          <w:rFonts w:ascii="Arial" w:eastAsia="Arial" w:hAnsi="Arial" w:cs="Arial"/>
        </w:rPr>
        <w:t>e this provision (or even know it's there).  It would also help if there are other examples, particularly where actions have been taken (vs. what T&amp;Cs say)</w:t>
      </w:r>
    </w:p>
  </w:comment>
  <w:comment w:id="126" w:author="Olawale Bakare" w:date="2017-09-18T01:32:00Z" w:initials="">
    <w:p w:rsidR="009C63AA" w:rsidRDefault="00E83D4F">
      <w:pPr>
        <w:widowControl w:val="0"/>
        <w:spacing w:after="0" w:line="240" w:lineRule="auto"/>
        <w:rPr>
          <w:rFonts w:ascii="Arial" w:eastAsia="Arial" w:hAnsi="Arial" w:cs="Arial"/>
        </w:rPr>
      </w:pPr>
      <w:r>
        <w:rPr>
          <w:rFonts w:ascii="Arial" w:eastAsia="Arial" w:hAnsi="Arial" w:cs="Arial"/>
        </w:rPr>
        <w:t>The sentence may need further clarification of "</w:t>
      </w:r>
      <w:r>
        <w:rPr>
          <w:rFonts w:ascii="Arial" w:eastAsia="Arial" w:hAnsi="Arial" w:cs="Arial"/>
        </w:rPr>
        <w:t>subsidiaries in page 1 of background section". Are registrars classified as part of ICANN subsidiaries, bearing in mind the inter-relationship of DNS systems?</w:t>
      </w:r>
    </w:p>
  </w:comment>
  <w:comment w:id="127" w:author="Greg Shatan" w:date="2017-09-18T01:32:00Z" w:initials="">
    <w:p w:rsidR="009C63AA" w:rsidRDefault="00E83D4F">
      <w:pPr>
        <w:widowControl w:val="0"/>
        <w:spacing w:after="0" w:line="240" w:lineRule="auto"/>
        <w:rPr>
          <w:rFonts w:ascii="Arial" w:eastAsia="Arial" w:hAnsi="Arial" w:cs="Arial"/>
        </w:rPr>
      </w:pPr>
      <w:r>
        <w:rPr>
          <w:rFonts w:ascii="Arial" w:eastAsia="Arial" w:hAnsi="Arial" w:cs="Arial"/>
        </w:rPr>
        <w:t>Registrars are definitely not ICANN subsidiaries.</w:t>
      </w:r>
    </w:p>
  </w:comment>
  <w:comment w:id="128" w:author="Olawale Bakare" w:date="2017-09-18T01:32:00Z" w:initials="">
    <w:p w:rsidR="009C63AA" w:rsidRDefault="00E83D4F">
      <w:pPr>
        <w:widowControl w:val="0"/>
        <w:spacing w:after="0" w:line="240" w:lineRule="auto"/>
        <w:rPr>
          <w:rFonts w:ascii="Arial" w:eastAsia="Arial" w:hAnsi="Arial" w:cs="Arial"/>
        </w:rPr>
      </w:pPr>
      <w:r>
        <w:rPr>
          <w:rFonts w:ascii="Arial" w:eastAsia="Arial" w:hAnsi="Arial" w:cs="Arial"/>
        </w:rPr>
        <w:t>Thank you, Greg. The ICANN customers and partne</w:t>
      </w:r>
      <w:r>
        <w:rPr>
          <w:rFonts w:ascii="Arial" w:eastAsia="Arial" w:hAnsi="Arial" w:cs="Arial"/>
        </w:rPr>
        <w:t>rs are the Registry Operators and Registrars. The majority of these customers are based outside US. The maintainer of domain names is ICANN, for these customers (Registry Operator and Registrars), and the services are iterative and recursive by design. Que</w:t>
      </w:r>
      <w:r>
        <w:rPr>
          <w:rFonts w:ascii="Arial" w:eastAsia="Arial" w:hAnsi="Arial" w:cs="Arial"/>
        </w:rPr>
        <w:t>stion of whether the customers are subject to OFAC could be partial or total?</w:t>
      </w:r>
    </w:p>
  </w:comment>
  <w:comment w:id="121" w:author="Greg Shatan" w:date="2017-09-18T01:32:00Z" w:initials="">
    <w:p w:rsidR="009C63AA" w:rsidRDefault="00E83D4F">
      <w:pPr>
        <w:widowControl w:val="0"/>
        <w:spacing w:after="0" w:line="240" w:lineRule="auto"/>
        <w:rPr>
          <w:rFonts w:ascii="Arial" w:eastAsia="Arial" w:hAnsi="Arial" w:cs="Arial"/>
        </w:rPr>
      </w:pPr>
      <w:r>
        <w:rPr>
          <w:rFonts w:ascii="Arial" w:eastAsia="Arial" w:hAnsi="Arial" w:cs="Arial"/>
        </w:rPr>
        <w:t>This text was actually meant to be deleted, as I believe these points were dealt with elsewhere in the text.  I moved them to the page after the end of the document and then forg</w:t>
      </w:r>
      <w:r>
        <w:rPr>
          <w:rFonts w:ascii="Arial" w:eastAsia="Arial" w:hAnsi="Arial" w:cs="Arial"/>
        </w:rPr>
        <w:t>ot to delete them.</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D4F" w:rsidRDefault="00E83D4F">
      <w:pPr>
        <w:spacing w:after="0" w:line="240" w:lineRule="auto"/>
      </w:pPr>
      <w:r>
        <w:separator/>
      </w:r>
    </w:p>
  </w:endnote>
  <w:endnote w:type="continuationSeparator" w:id="0">
    <w:p w:rsidR="00E83D4F" w:rsidRDefault="00E8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3AA" w:rsidRDefault="00E83D4F">
    <w:pPr>
      <w:tabs>
        <w:tab w:val="center" w:pos="4680"/>
        <w:tab w:val="right" w:pos="9360"/>
      </w:tabs>
      <w:spacing w:after="0" w:line="240" w:lineRule="auto"/>
      <w:jc w:val="center"/>
    </w:pPr>
    <w:r>
      <w:fldChar w:fldCharType="begin"/>
    </w:r>
    <w:r>
      <w:instrText>PAGE</w:instrText>
    </w:r>
    <w:r w:rsidR="00CD3A69">
      <w:fldChar w:fldCharType="separate"/>
    </w:r>
    <w:r w:rsidR="009403A5">
      <w:rPr>
        <w:noProof/>
      </w:rPr>
      <w:t>4</w:t>
    </w:r>
    <w:r>
      <w:fldChar w:fldCharType="end"/>
    </w:r>
  </w:p>
  <w:p w:rsidR="009C63AA" w:rsidRDefault="009C63AA">
    <w:pPr>
      <w:tabs>
        <w:tab w:val="center" w:pos="4680"/>
        <w:tab w:val="right" w:pos="9360"/>
      </w:tabs>
      <w:spacing w:after="72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3AA" w:rsidRDefault="009C63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D4F" w:rsidRDefault="00E83D4F">
      <w:pPr>
        <w:spacing w:after="0" w:line="240" w:lineRule="auto"/>
      </w:pPr>
      <w:r>
        <w:separator/>
      </w:r>
    </w:p>
  </w:footnote>
  <w:footnote w:type="continuationSeparator" w:id="0">
    <w:p w:rsidR="00E83D4F" w:rsidRDefault="00E83D4F">
      <w:pPr>
        <w:spacing w:after="0" w:line="240" w:lineRule="auto"/>
      </w:pPr>
      <w:r>
        <w:continuationSeparator/>
      </w:r>
    </w:p>
  </w:footnote>
  <w:footnote w:id="1">
    <w:p w:rsidR="009C63AA" w:rsidRDefault="00E83D4F">
      <w:pPr>
        <w:spacing w:after="0" w:line="240" w:lineRule="auto"/>
        <w:rPr>
          <w:sz w:val="20"/>
          <w:szCs w:val="20"/>
        </w:rPr>
      </w:pPr>
      <w:r>
        <w:rPr>
          <w:vertAlign w:val="superscript"/>
        </w:rPr>
        <w:footnoteRef/>
      </w:r>
      <w:r>
        <w:rPr>
          <w:sz w:val="20"/>
          <w:szCs w:val="20"/>
        </w:rPr>
        <w:t xml:space="preserve">  Target individuals and entities may include foreign countries, regimes, terrorists, international</w:t>
      </w:r>
      <w:r>
        <w:rPr>
          <w:sz w:val="20"/>
          <w:szCs w:val="20"/>
        </w:rPr>
        <w:t xml:space="preserve"> narcotics traffickers and those engaged in certain activities such as the proliferation of weapons of mass destruction or transnational organized crime.</w:t>
      </w:r>
    </w:p>
  </w:footnote>
  <w:footnote w:id="2">
    <w:p w:rsidR="009C63AA" w:rsidRDefault="00E83D4F">
      <w:pPr>
        <w:spacing w:after="0" w:line="240" w:lineRule="auto"/>
        <w:rPr>
          <w:sz w:val="20"/>
          <w:szCs w:val="20"/>
        </w:rPr>
      </w:pPr>
      <w:r>
        <w:rPr>
          <w:vertAlign w:val="superscript"/>
        </w:rPr>
        <w:footnoteRef/>
      </w:r>
      <w:r>
        <w:rPr>
          <w:sz w:val="20"/>
          <w:szCs w:val="20"/>
        </w:rPr>
        <w:t xml:space="preserve"> </w:t>
      </w:r>
      <w:r>
        <w:rPr>
          <w:sz w:val="20"/>
          <w:szCs w:val="20"/>
          <w:u w:val="single"/>
        </w:rPr>
        <w:t>See</w:t>
      </w:r>
      <w:r>
        <w:rPr>
          <w:sz w:val="20"/>
          <w:szCs w:val="20"/>
        </w:rPr>
        <w:t xml:space="preserve"> OFAC Final Rule, "Economic Sanctions Enforcement Guidelines," November 9, 2009.  The Guidelines </w:t>
      </w:r>
      <w:r>
        <w:rPr>
          <w:sz w:val="20"/>
          <w:szCs w:val="20"/>
        </w:rPr>
        <w:t>outline various factors used by OFAC in taking enforcement decisions, which may include how compliance programs within an institution are working to comply with OFAC regulations.</w:t>
      </w:r>
      <w:ins w:id="0" w:author="Greg Shatan" w:date="2017-09-18T08:06:00Z">
        <w:r>
          <w:rPr>
            <w:sz w:val="20"/>
            <w:szCs w:val="20"/>
          </w:rPr>
          <w:t xml:space="preserve">  </w:t>
        </w:r>
        <w:r>
          <w:fldChar w:fldCharType="begin"/>
        </w:r>
        <w:r>
          <w:instrText>HYPERLINK "</w:instrText>
        </w:r>
        <w:r>
          <w:instrText>https://www.treasury.gov/resource-center/sanctions/Documents/fr74_57593.pdf"</w:instrText>
        </w:r>
        <w:r>
          <w:fldChar w:fldCharType="separate"/>
        </w:r>
        <w:r>
          <w:rPr>
            <w:color w:val="1155CC"/>
            <w:sz w:val="20"/>
            <w:szCs w:val="20"/>
            <w:u w:val="single"/>
          </w:rPr>
          <w:t>https://www.treasury.gov/resource-center/sanctions/Documents/fr74_57593.pdf</w:t>
        </w:r>
        <w:r>
          <w:fldChar w:fldCharType="end"/>
        </w:r>
        <w:r>
          <w:rPr>
            <w:sz w:val="20"/>
            <w:szCs w:val="20"/>
          </w:rPr>
          <w:t xml:space="preserve"> </w:t>
        </w:r>
      </w:ins>
    </w:p>
  </w:footnote>
  <w:footnote w:id="3">
    <w:p w:rsidR="009C63AA" w:rsidRPr="00CD3A69" w:rsidRDefault="00E83D4F">
      <w:pPr>
        <w:spacing w:after="0" w:line="240" w:lineRule="auto"/>
        <w:rPr>
          <w:ins w:id="2" w:author="Greg Shatan" w:date="2017-09-18T08:03:00Z"/>
          <w:sz w:val="20"/>
          <w:szCs w:val="20"/>
        </w:rPr>
      </w:pPr>
      <w:r>
        <w:rPr>
          <w:vertAlign w:val="superscript"/>
        </w:rPr>
        <w:footnoteRef/>
      </w:r>
      <w:ins w:id="3" w:author="Greg Shatan" w:date="2017-09-18T08:03:00Z">
        <w:r w:rsidRPr="00CD3A69">
          <w:rPr>
            <w:sz w:val="20"/>
            <w:szCs w:val="20"/>
          </w:rPr>
          <w:t xml:space="preserve"> </w:t>
        </w:r>
        <w:r>
          <w:fldChar w:fldCharType="begin"/>
        </w:r>
        <w:r>
          <w:instrText>HYPERLINK "</w:instrText>
        </w:r>
        <w:r>
          <w:instrText>https://www.treasury.gov/resource-center/faqs/Sanctions/Pages/faq_general.aspx#basic"</w:instrText>
        </w:r>
        <w:r>
          <w:fldChar w:fldCharType="separate"/>
        </w:r>
        <w:r>
          <w:rPr>
            <w:color w:val="1155CC"/>
            <w:sz w:val="20"/>
            <w:szCs w:val="20"/>
            <w:u w:val="single"/>
          </w:rPr>
          <w:t>https://www.treasury.gov/resource-center/faqs/Sanctions/Pages/faq_general.aspx#basic</w:t>
        </w:r>
        <w:r>
          <w:fldChar w:fldCharType="end"/>
        </w:r>
        <w:r w:rsidRPr="00CD3A69">
          <w:rPr>
            <w:sz w:val="20"/>
            <w:szCs w:val="20"/>
          </w:rPr>
          <w:t xml:space="preserve"> </w:t>
        </w:r>
      </w:ins>
    </w:p>
  </w:footnote>
  <w:footnote w:id="4">
    <w:p w:rsidR="009C63AA" w:rsidRDefault="00E83D4F">
      <w:pPr>
        <w:spacing w:after="0" w:line="240" w:lineRule="auto"/>
        <w:rPr>
          <w:sz w:val="20"/>
          <w:szCs w:val="20"/>
        </w:rPr>
      </w:pPr>
      <w:r>
        <w:rPr>
          <w:vertAlign w:val="superscript"/>
        </w:rPr>
        <w:footnoteRef/>
      </w:r>
      <w:r>
        <w:rPr>
          <w:sz w:val="20"/>
          <w:szCs w:val="20"/>
        </w:rPr>
        <w:t xml:space="preserve">  </w:t>
      </w:r>
      <w:r>
        <w:t>31 CFR, Chapter V (Regulations)</w:t>
      </w:r>
      <w:r>
        <w:rPr>
          <w:sz w:val="20"/>
          <w:szCs w:val="20"/>
        </w:rPr>
        <w:t xml:space="preserve">. </w:t>
      </w:r>
      <w:hyperlink r:id="rId1" w:anchor="500">
        <w:r>
          <w:rPr>
            <w:color w:val="1155CC"/>
            <w:sz w:val="20"/>
            <w:szCs w:val="20"/>
            <w:u w:val="single"/>
          </w:rPr>
          <w:t>http://ecfr.gpoaccess.gov/cgi/t/text/text-idx?sid=db8ee7ba44af7af5a01907d23d67dae4&amp;c=ecfr&amp;tpl=/ecfrbr</w:t>
        </w:r>
        <w:r>
          <w:rPr>
            <w:color w:val="1155CC"/>
            <w:sz w:val="20"/>
            <w:szCs w:val="20"/>
            <w:u w:val="single"/>
          </w:rPr>
          <w:t>owse/Title31/31cfrv3_02.tpl#500</w:t>
        </w:r>
      </w:hyperlink>
      <w:r>
        <w:rPr>
          <w:sz w:val="20"/>
          <w:szCs w:val="20"/>
        </w:rPr>
        <w:t xml:space="preserve"> </w:t>
      </w:r>
    </w:p>
  </w:footnote>
  <w:footnote w:id="5">
    <w:p w:rsidR="009C63AA" w:rsidRDefault="00E83D4F">
      <w:pPr>
        <w:spacing w:after="0" w:line="240" w:lineRule="auto"/>
        <w:rPr>
          <w:sz w:val="20"/>
          <w:szCs w:val="20"/>
        </w:rPr>
      </w:pPr>
      <w:r>
        <w:rPr>
          <w:vertAlign w:val="superscript"/>
        </w:rPr>
        <w:footnoteRef/>
      </w:r>
      <w:r>
        <w:rPr>
          <w:sz w:val="20"/>
          <w:szCs w:val="20"/>
        </w:rPr>
        <w:t xml:space="preserve"> The Subgroup recognizes that many countries impose sanctions regimes and cooperate in the creation and enforcement of sanctions.  As a practical matter, the effect of sanctions other than US sanctions has not been a conce</w:t>
      </w:r>
      <w:r>
        <w:rPr>
          <w:sz w:val="20"/>
          <w:szCs w:val="20"/>
        </w:rPr>
        <w:t>rn for ICANN operations. Therefore, this report focuses on concerns raised by US sanctions.  However, the concerns and recommendations in this report could be considered and applied in the context of other jurisdictions’ sanctions regimes if there are effe</w:t>
      </w:r>
      <w:r>
        <w:rPr>
          <w:sz w:val="20"/>
          <w:szCs w:val="20"/>
        </w:rPr>
        <w:t xml:space="preserve">cts from those regimes. </w:t>
      </w:r>
    </w:p>
  </w:footnote>
  <w:footnote w:id="6">
    <w:p w:rsidR="009C63AA" w:rsidRDefault="00E83D4F">
      <w:pPr>
        <w:spacing w:after="0" w:line="240" w:lineRule="auto"/>
        <w:rPr>
          <w:sz w:val="20"/>
          <w:szCs w:val="20"/>
        </w:rPr>
      </w:pPr>
      <w:r>
        <w:rPr>
          <w:vertAlign w:val="superscript"/>
        </w:rPr>
        <w:footnoteRef/>
      </w:r>
      <w:r>
        <w:rPr>
          <w:sz w:val="20"/>
          <w:szCs w:val="20"/>
        </w:rPr>
        <w:t xml:space="preserve"> New gTLD Applicant Guidebook, 1-25</w:t>
      </w:r>
    </w:p>
  </w:footnote>
  <w:footnote w:id="7">
    <w:p w:rsidR="009C63AA" w:rsidRPr="00CD3A69" w:rsidRDefault="00E83D4F">
      <w:pPr>
        <w:spacing w:after="0" w:line="240" w:lineRule="auto"/>
        <w:rPr>
          <w:ins w:id="37" w:author="Greg Shatan" w:date="2017-09-18T11:09:00Z"/>
          <w:sz w:val="20"/>
          <w:szCs w:val="20"/>
        </w:rPr>
      </w:pPr>
      <w:r>
        <w:rPr>
          <w:vertAlign w:val="superscript"/>
        </w:rPr>
        <w:footnoteRef/>
      </w:r>
      <w:ins w:id="38" w:author="Greg Shatan" w:date="2017-09-18T11:09:00Z">
        <w:r w:rsidRPr="00CD3A69">
          <w:rPr>
            <w:sz w:val="20"/>
            <w:szCs w:val="20"/>
          </w:rPr>
          <w:t xml:space="preserve"> </w:t>
        </w:r>
        <w:r>
          <w:fldChar w:fldCharType="begin"/>
        </w:r>
        <w:r>
          <w:instrText>HYPERLINK "http://www.gesloten.cw/support/legal.php?requestfor=registraragreemen</w:instrText>
        </w:r>
        <w:r>
          <w:instrText>t&amp;from=agree_page"</w:instrText>
        </w:r>
        <w:r>
          <w:fldChar w:fldCharType="separate"/>
        </w:r>
        <w:r w:rsidRPr="00CD3A69">
          <w:rPr>
            <w:sz w:val="20"/>
            <w:szCs w:val="20"/>
          </w:rPr>
          <w:t>http://www.gesloten.cw/support/legal.php?requestfor=registraragreement&amp;from=agree_page</w:t>
        </w:r>
        <w:r>
          <w:fldChar w:fldCharType="end"/>
        </w:r>
        <w:r w:rsidRPr="00CD3A69">
          <w:rPr>
            <w:sz w:val="20"/>
            <w:szCs w:val="20"/>
          </w:rPr>
          <w:t xml:space="preserve">. </w:t>
        </w:r>
      </w:ins>
    </w:p>
  </w:footnote>
  <w:footnote w:id="8">
    <w:p w:rsidR="009C63AA" w:rsidRDefault="00E83D4F">
      <w:pPr>
        <w:spacing w:after="0" w:line="240" w:lineRule="auto"/>
        <w:rPr>
          <w:sz w:val="18"/>
          <w:szCs w:val="18"/>
        </w:rPr>
      </w:pPr>
      <w:r>
        <w:rPr>
          <w:vertAlign w:val="superscript"/>
        </w:rPr>
        <w:footnoteRef/>
      </w:r>
      <w:r>
        <w:rPr>
          <w:sz w:val="20"/>
          <w:szCs w:val="20"/>
        </w:rPr>
        <w:t xml:space="preserve"> </w:t>
      </w:r>
      <w:r>
        <w:rPr>
          <w:sz w:val="20"/>
          <w:szCs w:val="20"/>
          <w:highlight w:val="white"/>
        </w:rPr>
        <w:t>(17) “Prohibited Persons (Countries, Entities, and Individuals)” refers to certain sanctioned countries (each a “Sanctioned Country”) and certain individuals, organizations or entities, includ</w:t>
      </w:r>
      <w:r>
        <w:rPr>
          <w:sz w:val="20"/>
          <w:szCs w:val="20"/>
          <w:highlight w:val="white"/>
        </w:rPr>
        <w:t>ing without limitation, certain “Specially Designated Nationals” (“SDN”) as listed by the government of the United States of America through the Office of Foreign Assets Control (“OFAC”), with whom all or certain commercial activities are prohibited. If yo</w:t>
      </w:r>
      <w:r>
        <w:rPr>
          <w:sz w:val="20"/>
          <w:szCs w:val="20"/>
          <w:highlight w:val="white"/>
        </w:rPr>
        <w:t>u are located in a Sanctioned Country or your details match with an SDN entry, you are prohibited from registering or signing up with, subscribing to, or </w:t>
      </w:r>
      <w:r>
        <w:rPr>
          <w:i/>
          <w:sz w:val="20"/>
          <w:szCs w:val="20"/>
          <w:highlight w:val="white"/>
        </w:rPr>
        <w:t>using any service of Parent</w:t>
      </w:r>
      <w:r>
        <w:rPr>
          <w:sz w:val="20"/>
          <w:szCs w:val="20"/>
          <w:highlight w:val="white"/>
        </w:rPr>
        <w:t>.”</w:t>
      </w:r>
    </w:p>
  </w:footnote>
  <w:footnote w:id="9">
    <w:p w:rsidR="009C63AA" w:rsidRPr="00CD3A69" w:rsidRDefault="00E83D4F">
      <w:pPr>
        <w:spacing w:after="0" w:line="240" w:lineRule="auto"/>
        <w:rPr>
          <w:ins w:id="42" w:author="Greg Shatan" w:date="2017-09-18T11:09:00Z"/>
          <w:sz w:val="20"/>
          <w:szCs w:val="20"/>
        </w:rPr>
      </w:pPr>
      <w:r>
        <w:rPr>
          <w:vertAlign w:val="superscript"/>
        </w:rPr>
        <w:footnoteRef/>
      </w:r>
      <w:ins w:id="43" w:author="Greg Shatan" w:date="2017-09-18T11:09:00Z">
        <w:r w:rsidRPr="00CD3A69">
          <w:rPr>
            <w:sz w:val="20"/>
            <w:szCs w:val="20"/>
          </w:rPr>
          <w:t xml:space="preserve"> </w:t>
        </w:r>
        <w:r>
          <w:fldChar w:fldCharType="begin"/>
        </w:r>
        <w:r>
          <w:instrText>HYPERLINK "https://www.olipso.com/en/domain-registration-agreement"</w:instrText>
        </w:r>
        <w:r>
          <w:fldChar w:fldCharType="separate"/>
        </w:r>
        <w:r w:rsidRPr="00CD3A69">
          <w:rPr>
            <w:sz w:val="20"/>
            <w:szCs w:val="20"/>
          </w:rPr>
          <w:t>https://www.olipso.com/en/domain-registration-agreement</w:t>
        </w:r>
        <w:r>
          <w:fldChar w:fldCharType="end"/>
        </w:r>
        <w:r w:rsidRPr="00CD3A69">
          <w:rPr>
            <w:sz w:val="20"/>
            <w:szCs w:val="20"/>
          </w:rPr>
          <w:t xml:space="preserve">. </w:t>
        </w:r>
      </w:ins>
    </w:p>
  </w:footnote>
  <w:footnote w:id="10">
    <w:p w:rsidR="009C63AA" w:rsidRDefault="00E83D4F">
      <w:pPr>
        <w:spacing w:after="0" w:line="240" w:lineRule="auto"/>
        <w:rPr>
          <w:sz w:val="20"/>
          <w:szCs w:val="20"/>
        </w:rPr>
      </w:pPr>
      <w:r>
        <w:rPr>
          <w:vertAlign w:val="superscript"/>
        </w:rPr>
        <w:footnoteRef/>
      </w:r>
      <w:r>
        <w:rPr>
          <w:sz w:val="20"/>
          <w:szCs w:val="20"/>
        </w:rPr>
        <w:t xml:space="preserve"> </w:t>
      </w:r>
      <w:ins w:id="51" w:author="Greg Shatan" w:date="2017-09-18T10:05:00Z">
        <w:r>
          <w:rPr>
            <w:sz w:val="20"/>
            <w:szCs w:val="20"/>
          </w:rPr>
          <w:t>For e</w:t>
        </w:r>
        <w:r>
          <w:rPr>
            <w:sz w:val="20"/>
            <w:szCs w:val="20"/>
          </w:rPr>
          <w:t>xample, b</w:t>
        </w:r>
      </w:ins>
      <w:del w:id="52" w:author="Greg Shatan" w:date="2017-09-18T10:05:00Z">
        <w:r>
          <w:rPr>
            <w:sz w:val="20"/>
            <w:szCs w:val="20"/>
          </w:rPr>
          <w:delText>B</w:delText>
        </w:r>
      </w:del>
      <w:r>
        <w:rPr>
          <w:sz w:val="20"/>
          <w:szCs w:val="20"/>
        </w:rPr>
        <w:t>oth agreements use</w:t>
      </w:r>
      <w:ins w:id="53" w:author="Greg Shatan" w:date="2017-09-18T11:04:00Z">
        <w:r>
          <w:rPr>
            <w:sz w:val="20"/>
            <w:szCs w:val="20"/>
          </w:rPr>
          <w:t>d</w:t>
        </w:r>
      </w:ins>
      <w:r>
        <w:rPr>
          <w:sz w:val="20"/>
          <w:szCs w:val="20"/>
        </w:rPr>
        <w:t xml:space="preserve"> “Mumbai time” as a standard for certain matters even though neither is in India</w:t>
      </w:r>
      <w:ins w:id="54" w:author="Greg Shatan" w:date="2017-09-18T10:05:00Z">
        <w:r>
          <w:rPr>
            <w:sz w:val="20"/>
            <w:szCs w:val="20"/>
          </w:rPr>
          <w:t>, located in that time zone,</w:t>
        </w:r>
      </w:ins>
      <w:r>
        <w:rPr>
          <w:sz w:val="20"/>
          <w:szCs w:val="20"/>
        </w:rPr>
        <w:t xml:space="preserve"> or has any particular contacts with India.</w:t>
      </w:r>
      <w:ins w:id="55" w:author="Greg Shatan" w:date="2017-09-18T11:11:00Z">
        <w:r>
          <w:rPr>
            <w:sz w:val="20"/>
            <w:szCs w:val="20"/>
          </w:rPr>
          <w:t xml:space="preserve">  This has now been re</w:t>
        </w:r>
        <w:r>
          <w:rPr>
            <w:sz w:val="20"/>
            <w:szCs w:val="20"/>
          </w:rPr>
          <w:t>moved from the Gesloten.cw registrant agreement.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3AA" w:rsidRDefault="009C63AA">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3AA" w:rsidRDefault="00E83D4F">
    <w:pPr>
      <w:jc w:val="right"/>
    </w:pPr>
    <w:r>
      <w:t>17 SEPTEMBER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55F09"/>
    <w:multiLevelType w:val="multilevel"/>
    <w:tmpl w:val="43EC0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C63AA"/>
    <w:rsid w:val="00155735"/>
    <w:rsid w:val="008E5E9D"/>
    <w:rsid w:val="009403A5"/>
    <w:rsid w:val="009C63AA"/>
    <w:rsid w:val="00CD3A69"/>
    <w:rsid w:val="00E83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A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fr.gpoaccess.gov/cgi/t/text/text-idx?sid=db8ee7ba44af7af5a01907d23d67dae4&amp;c=ecfr&amp;tpl=/ecfrbrowse/Title31/31cfrv3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2701</Words>
  <Characters>15399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3</cp:revision>
  <cp:lastPrinted>2017-09-18T05:32:00Z</cp:lastPrinted>
  <dcterms:created xsi:type="dcterms:W3CDTF">2017-09-18T05:32:00Z</dcterms:created>
  <dcterms:modified xsi:type="dcterms:W3CDTF">2017-09-18T05:33:00Z</dcterms:modified>
</cp:coreProperties>
</file>