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6B5" w:rsidRDefault="00DB16B5" w:rsidP="00D05424">
      <w:pPr>
        <w:rPr>
          <w:sz w:val="28"/>
          <w:szCs w:val="28"/>
        </w:rPr>
      </w:pPr>
      <w:bookmarkStart w:id="0" w:name="_gjdgxs" w:colFirst="0" w:colLast="0"/>
      <w:bookmarkStart w:id="1" w:name="_GoBack"/>
      <w:bookmarkEnd w:id="0"/>
      <w:bookmarkEnd w:id="1"/>
      <w:r>
        <w:rPr>
          <w:b/>
          <w:sz w:val="28"/>
          <w:szCs w:val="28"/>
        </w:rPr>
        <w:t>JURISDICTION SUBGROUP ICANN LITIGATION SUMMARY v2.1</w:t>
      </w:r>
    </w:p>
    <w:tbl>
      <w:tblPr>
        <w:tblW w:w="1317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8"/>
        <w:gridCol w:w="9378"/>
      </w:tblGrid>
      <w:tr w:rsidR="00DB16B5" w:rsidTr="00D93DC2">
        <w:tc>
          <w:tcPr>
            <w:tcW w:w="3798" w:type="dxa"/>
          </w:tcPr>
          <w:p w:rsidR="00DB16B5" w:rsidRDefault="00DB16B5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Reviewed by:</w:t>
            </w:r>
          </w:p>
        </w:tc>
        <w:tc>
          <w:tcPr>
            <w:tcW w:w="9378" w:type="dxa"/>
          </w:tcPr>
          <w:p w:rsidR="00DB16B5" w:rsidRDefault="00E07671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Avri D</w:t>
            </w:r>
            <w:r w:rsidR="00D93DC2">
              <w:rPr>
                <w:sz w:val="24"/>
                <w:szCs w:val="24"/>
              </w:rPr>
              <w:t>oria</w:t>
            </w:r>
          </w:p>
        </w:tc>
      </w:tr>
      <w:tr w:rsidR="00DB16B5" w:rsidTr="00D93DC2">
        <w:tc>
          <w:tcPr>
            <w:tcW w:w="3798" w:type="dxa"/>
          </w:tcPr>
          <w:p w:rsidR="00DB16B5" w:rsidRDefault="00DB16B5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of Case:</w:t>
            </w:r>
          </w:p>
        </w:tc>
        <w:tc>
          <w:tcPr>
            <w:tcW w:w="9378" w:type="dxa"/>
          </w:tcPr>
          <w:p w:rsidR="00DB16B5" w:rsidRPr="00A27B16" w:rsidRDefault="00D93DC2" w:rsidP="00D93DC2">
            <w:r>
              <w:t xml:space="preserve">KARL AUERBACH </w:t>
            </w:r>
            <w:r w:rsidR="00F228CE">
              <w:t xml:space="preserve"> v. ICANN</w:t>
            </w:r>
          </w:p>
        </w:tc>
      </w:tr>
      <w:tr w:rsidR="00DB16B5" w:rsidTr="00D93DC2">
        <w:tc>
          <w:tcPr>
            <w:tcW w:w="3798" w:type="dxa"/>
          </w:tcPr>
          <w:p w:rsidR="00DB16B5" w:rsidRDefault="00DB16B5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Parties:</w:t>
            </w:r>
            <w:r>
              <w:rPr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9378" w:type="dxa"/>
          </w:tcPr>
          <w:p w:rsidR="00DB16B5" w:rsidRDefault="00D93DC2" w:rsidP="00D93DC2">
            <w:r>
              <w:t>Karl Auerbach (P)</w:t>
            </w:r>
          </w:p>
          <w:p w:rsidR="00D93DC2" w:rsidRPr="002D327D" w:rsidRDefault="00D93DC2" w:rsidP="00D93DC2">
            <w:r>
              <w:t>ICANN (R)</w:t>
            </w:r>
          </w:p>
        </w:tc>
      </w:tr>
      <w:tr w:rsidR="00DB16B5" w:rsidTr="00D93DC2">
        <w:tc>
          <w:tcPr>
            <w:tcW w:w="3798" w:type="dxa"/>
          </w:tcPr>
          <w:p w:rsidR="00DB16B5" w:rsidRDefault="00DB16B5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Citizenship of Parties:</w:t>
            </w:r>
          </w:p>
        </w:tc>
        <w:tc>
          <w:tcPr>
            <w:tcW w:w="9378" w:type="dxa"/>
          </w:tcPr>
          <w:p w:rsidR="00DB16B5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USA</w:t>
            </w:r>
          </w:p>
        </w:tc>
      </w:tr>
      <w:tr w:rsidR="00DB16B5" w:rsidTr="00D93DC2">
        <w:tc>
          <w:tcPr>
            <w:tcW w:w="3798" w:type="dxa"/>
          </w:tcPr>
          <w:p w:rsidR="00DB16B5" w:rsidRDefault="00DB16B5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Court/Venue:</w:t>
            </w:r>
          </w:p>
        </w:tc>
        <w:tc>
          <w:tcPr>
            <w:tcW w:w="9378" w:type="dxa"/>
          </w:tcPr>
          <w:p w:rsidR="00DB16B5" w:rsidRPr="0007741F" w:rsidRDefault="00D93DC2" w:rsidP="00D93DC2">
            <w:r>
              <w:t>SUPERIOR COURT FOR THE STATE OF CALIFORNIA</w:t>
            </w:r>
          </w:p>
        </w:tc>
      </w:tr>
      <w:tr w:rsidR="00DB16B5" w:rsidTr="00D93DC2">
        <w:tc>
          <w:tcPr>
            <w:tcW w:w="3798" w:type="dxa"/>
          </w:tcPr>
          <w:p w:rsidR="00DB16B5" w:rsidRDefault="00DB16B5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a contract involved? Did it have a Choice of Law provision; if so, which jurisdiction?:</w:t>
            </w:r>
          </w:p>
        </w:tc>
        <w:tc>
          <w:tcPr>
            <w:tcW w:w="9378" w:type="dxa"/>
          </w:tcPr>
          <w:p w:rsidR="00DB16B5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 contract</w:t>
            </w:r>
          </w:p>
        </w:tc>
      </w:tr>
      <w:tr w:rsidR="00DB16B5" w:rsidTr="00D93DC2">
        <w:tc>
          <w:tcPr>
            <w:tcW w:w="3798" w:type="dxa"/>
          </w:tcPr>
          <w:p w:rsidR="00DB16B5" w:rsidRDefault="00DB16B5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Law used to determine conflict of laws issues (i.e., to determine which substantive law applies):</w:t>
            </w:r>
          </w:p>
        </w:tc>
        <w:tc>
          <w:tcPr>
            <w:tcW w:w="9378" w:type="dxa"/>
          </w:tcPr>
          <w:p w:rsidR="00DB16B5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Case involved </w:t>
            </w:r>
            <w:r>
              <w:t>California Corporations Code § 6334</w:t>
            </w:r>
            <w:r w:rsidR="00762C53">
              <w:t xml:space="preserve"> and rule governing relationship between directors and the Corporation regarding transparency</w:t>
            </w:r>
            <w:r>
              <w:t>. There was no conflict of jurisdiction</w:t>
            </w:r>
          </w:p>
        </w:tc>
      </w:tr>
      <w:tr w:rsidR="00DB16B5" w:rsidRPr="00E07671" w:rsidTr="00D93DC2">
        <w:tc>
          <w:tcPr>
            <w:tcW w:w="3798" w:type="dxa"/>
          </w:tcPr>
          <w:p w:rsidR="00DB16B5" w:rsidRDefault="00DB16B5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Substantive Law Governing the Dispute (i.e., which law applies to the dispute and/or interpretation of contracts):</w:t>
            </w:r>
          </w:p>
        </w:tc>
        <w:tc>
          <w:tcPr>
            <w:tcW w:w="9378" w:type="dxa"/>
          </w:tcPr>
          <w:p w:rsidR="00DB16B5" w:rsidRPr="00E07671" w:rsidRDefault="00E07671" w:rsidP="00D93DC2">
            <w:pPr>
              <w:rPr>
                <w:sz w:val="24"/>
                <w:szCs w:val="24"/>
                <w:lang w:val="fr-CH"/>
              </w:rPr>
            </w:pPr>
            <w:proofErr w:type="spellStart"/>
            <w:r w:rsidRPr="00E07671">
              <w:rPr>
                <w:lang w:val="fr-CH"/>
              </w:rPr>
              <w:t>California</w:t>
            </w:r>
            <w:proofErr w:type="spellEnd"/>
            <w:r w:rsidRPr="00E07671">
              <w:rPr>
                <w:lang w:val="fr-CH"/>
              </w:rPr>
              <w:t xml:space="preserve"> Corporations Code §§ 5110 et </w:t>
            </w:r>
            <w:proofErr w:type="spellStart"/>
            <w:r w:rsidRPr="00E07671">
              <w:rPr>
                <w:lang w:val="fr-CH"/>
              </w:rPr>
              <w:t>seq</w:t>
            </w:r>
            <w:proofErr w:type="spellEnd"/>
            <w:r w:rsidRPr="00E07671">
              <w:rPr>
                <w:lang w:val="fr-CH"/>
              </w:rPr>
              <w:t>.</w:t>
            </w:r>
          </w:p>
        </w:tc>
      </w:tr>
      <w:tr w:rsidR="00DB16B5" w:rsidTr="00D93DC2">
        <w:tc>
          <w:tcPr>
            <w:tcW w:w="3798" w:type="dxa"/>
          </w:tcPr>
          <w:p w:rsidR="00DB16B5" w:rsidRDefault="00DB16B5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 Case Began:</w:t>
            </w:r>
          </w:p>
        </w:tc>
        <w:tc>
          <w:tcPr>
            <w:tcW w:w="9378" w:type="dxa"/>
          </w:tcPr>
          <w:p w:rsidR="00DB16B5" w:rsidRDefault="00D93DC2" w:rsidP="00D93DC2">
            <w:pPr>
              <w:rPr>
                <w:sz w:val="24"/>
                <w:szCs w:val="24"/>
              </w:rPr>
            </w:pPr>
            <w:r>
              <w:rPr>
                <w:rFonts w:ascii="Helvetica" w:hAnsi="Helvetica"/>
                <w:color w:val="333333"/>
                <w:shd w:val="clear" w:color="auto" w:fill="FFFFFF"/>
              </w:rPr>
              <w:t>18 March 2002</w:t>
            </w:r>
          </w:p>
        </w:tc>
      </w:tr>
      <w:tr w:rsidR="00DB16B5" w:rsidTr="00D93DC2">
        <w:tc>
          <w:tcPr>
            <w:tcW w:w="3798" w:type="dxa"/>
          </w:tcPr>
          <w:p w:rsidR="00DB16B5" w:rsidRDefault="00DB16B5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Date Case Ended:</w:t>
            </w:r>
          </w:p>
        </w:tc>
        <w:tc>
          <w:tcPr>
            <w:tcW w:w="9378" w:type="dxa"/>
          </w:tcPr>
          <w:p w:rsidR="00DB16B5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 2002</w:t>
            </w:r>
          </w:p>
        </w:tc>
      </w:tr>
      <w:tr w:rsidR="00DB16B5" w:rsidTr="00D93DC2">
        <w:tc>
          <w:tcPr>
            <w:tcW w:w="3798" w:type="dxa"/>
          </w:tcPr>
          <w:p w:rsidR="00DB16B5" w:rsidRDefault="00DB16B5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Causes of Action:</w:t>
            </w:r>
            <w:r>
              <w:rPr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9378" w:type="dxa"/>
          </w:tcPr>
          <w:p w:rsidR="00A43105" w:rsidRPr="005B4566" w:rsidRDefault="00762C53" w:rsidP="00D93DC2">
            <w:pPr>
              <w:rPr>
                <w:sz w:val="24"/>
                <w:szCs w:val="24"/>
              </w:rPr>
            </w:pPr>
            <w:r>
              <w:t xml:space="preserve">Petitioned </w:t>
            </w:r>
            <w:r w:rsidR="00D93DC2">
              <w:t>Court for a peremptory  Writ of</w:t>
            </w:r>
            <w:r>
              <w:t xml:space="preserve"> </w:t>
            </w:r>
            <w:r w:rsidR="00D93DC2">
              <w:t>Mandate or other extraordinary Writ or Order to the Respondent, ordering and directing Respondent immediately to make available to Petitioner for inspection an</w:t>
            </w:r>
            <w:r>
              <w:t>d copying all corporate records.</w:t>
            </w:r>
          </w:p>
        </w:tc>
      </w:tr>
      <w:tr w:rsidR="00D93DC2" w:rsidTr="00D93DC2">
        <w:tc>
          <w:tcPr>
            <w:tcW w:w="3798" w:type="dxa"/>
          </w:tcPr>
          <w:p w:rsidR="00D93DC2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Issues Presented/Brief Summary of Case:</w:t>
            </w:r>
          </w:p>
        </w:tc>
        <w:tc>
          <w:tcPr>
            <w:tcW w:w="9378" w:type="dxa"/>
          </w:tcPr>
          <w:p w:rsidR="00D93DC2" w:rsidRDefault="00D93DC2" w:rsidP="00D93DC2">
            <w:pPr>
              <w:rPr>
                <w:sz w:val="24"/>
                <w:szCs w:val="24"/>
              </w:rPr>
            </w:pPr>
            <w:r>
              <w:t>“Rather, this is an age-old tale of a California corporation refusing access to corporate records to a member of its Board of Directors, or seeking to impose improper and unlawful conditions on the Director before allowing such access.”</w:t>
            </w:r>
          </w:p>
        </w:tc>
      </w:tr>
      <w:tr w:rsidR="00D93DC2" w:rsidTr="00D93DC2">
        <w:tc>
          <w:tcPr>
            <w:tcW w:w="3798" w:type="dxa"/>
          </w:tcPr>
          <w:p w:rsidR="00D93DC2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Preliminary Relief Requested (and if so, was it granted)?:</w:t>
            </w:r>
          </w:p>
        </w:tc>
        <w:tc>
          <w:tcPr>
            <w:tcW w:w="9378" w:type="dxa"/>
          </w:tcPr>
          <w:p w:rsidR="00D93DC2" w:rsidRDefault="003905C0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D93DC2" w:rsidTr="00D93DC2">
        <w:tc>
          <w:tcPr>
            <w:tcW w:w="3798" w:type="dxa"/>
          </w:tcPr>
          <w:p w:rsidR="00D93DC2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Relief Requested by Plaintiff:</w:t>
            </w:r>
          </w:p>
        </w:tc>
        <w:tc>
          <w:tcPr>
            <w:tcW w:w="9378" w:type="dxa"/>
          </w:tcPr>
          <w:p w:rsidR="00D93DC2" w:rsidRDefault="003905C0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D93DC2" w:rsidTr="00D93DC2">
        <w:tc>
          <w:tcPr>
            <w:tcW w:w="3798" w:type="dxa"/>
          </w:tcPr>
          <w:p w:rsidR="00D93DC2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Outcome of Case and Relief Granted (if any):</w:t>
            </w:r>
          </w:p>
        </w:tc>
        <w:tc>
          <w:tcPr>
            <w:tcW w:w="9378" w:type="dxa"/>
          </w:tcPr>
          <w:p w:rsidR="00D93DC2" w:rsidRPr="009865FF" w:rsidRDefault="00D93DC2" w:rsidP="00D93DC2">
            <w:r>
              <w:t xml:space="preserve"> </w:t>
            </w:r>
            <w:r w:rsidR="003774B8">
              <w:t>P was granted the access to the documents requested,. Essentially both the P &amp; D were deemed to be partially in error.</w:t>
            </w:r>
            <w:r w:rsidR="00762C53">
              <w:t xml:space="preserve"> Some document were restricted to inspection while others</w:t>
            </w:r>
            <w:r w:rsidR="006C1C0F">
              <w:t xml:space="preserve"> were provided to the P who was ordered to respect ICANN’s confidentiality rules.</w:t>
            </w:r>
          </w:p>
        </w:tc>
      </w:tr>
      <w:tr w:rsidR="00D93DC2" w:rsidTr="00D93DC2">
        <w:tc>
          <w:tcPr>
            <w:tcW w:w="3798" w:type="dxa"/>
          </w:tcPr>
          <w:p w:rsidR="00D93DC2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Jurisdiction Contested, and if so, what was the outcome?:</w:t>
            </w:r>
            <w:r>
              <w:rPr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9378" w:type="dxa"/>
          </w:tcPr>
          <w:p w:rsidR="00D93DC2" w:rsidRPr="00B927F7" w:rsidRDefault="003774B8" w:rsidP="00D93DC2">
            <w:r>
              <w:t>No</w:t>
            </w:r>
          </w:p>
        </w:tc>
      </w:tr>
      <w:tr w:rsidR="00D93DC2" w:rsidTr="00D93DC2">
        <w:tc>
          <w:tcPr>
            <w:tcW w:w="3798" w:type="dxa"/>
          </w:tcPr>
          <w:p w:rsidR="00D93DC2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Relevance of the case to the Jurisdiction Subgroup mandate:</w:t>
            </w:r>
          </w:p>
        </w:tc>
        <w:tc>
          <w:tcPr>
            <w:tcW w:w="9378" w:type="dxa"/>
          </w:tcPr>
          <w:p w:rsidR="00D93DC2" w:rsidRDefault="003774B8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Case was</w:t>
            </w:r>
            <w:r w:rsidR="00762C53">
              <w:rPr>
                <w:sz w:val="24"/>
                <w:szCs w:val="24"/>
              </w:rPr>
              <w:t xml:space="preserve"> about adherence to CA law for D</w:t>
            </w:r>
            <w:r>
              <w:rPr>
                <w:sz w:val="24"/>
                <w:szCs w:val="24"/>
              </w:rPr>
              <w:t>irector access to corporate documentation.</w:t>
            </w:r>
          </w:p>
        </w:tc>
      </w:tr>
      <w:tr w:rsidR="00D93DC2" w:rsidTr="00D93DC2">
        <w:tc>
          <w:tcPr>
            <w:tcW w:w="3798" w:type="dxa"/>
          </w:tcPr>
          <w:p w:rsidR="00D93DC2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Impact of case on ICANN accountability/operations:</w:t>
            </w:r>
            <w:r>
              <w:rPr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9378" w:type="dxa"/>
          </w:tcPr>
          <w:p w:rsidR="00D93DC2" w:rsidRDefault="003774B8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Relates to accountability in that </w:t>
            </w:r>
            <w:r w:rsidR="00762C53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orporation was controlled by California statute.</w:t>
            </w:r>
          </w:p>
        </w:tc>
      </w:tr>
      <w:tr w:rsidR="00D93DC2" w:rsidTr="00D93DC2">
        <w:tc>
          <w:tcPr>
            <w:tcW w:w="3798" w:type="dxa"/>
          </w:tcPr>
          <w:p w:rsidR="00D93DC2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Impact if case were decided for the other party?:</w:t>
            </w:r>
          </w:p>
        </w:tc>
        <w:tc>
          <w:tcPr>
            <w:tcW w:w="9378" w:type="dxa"/>
          </w:tcPr>
          <w:p w:rsidR="00D93DC2" w:rsidRDefault="00762C53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 was essentially a tie.</w:t>
            </w:r>
          </w:p>
        </w:tc>
      </w:tr>
      <w:tr w:rsidR="00D93DC2" w:rsidTr="00D93DC2">
        <w:tc>
          <w:tcPr>
            <w:tcW w:w="3798" w:type="dxa"/>
          </w:tcPr>
          <w:p w:rsidR="00D93DC2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Court comment on any jurisdiction-related matters?:</w:t>
            </w:r>
          </w:p>
        </w:tc>
        <w:tc>
          <w:tcPr>
            <w:tcW w:w="9378" w:type="dxa"/>
          </w:tcPr>
          <w:p w:rsidR="00D93DC2" w:rsidRDefault="00762C53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not have court comment, only ICANN report on that comment.</w:t>
            </w:r>
          </w:p>
        </w:tc>
      </w:tr>
      <w:tr w:rsidR="00D93DC2" w:rsidTr="00D93DC2">
        <w:tc>
          <w:tcPr>
            <w:tcW w:w="3798" w:type="dxa"/>
          </w:tcPr>
          <w:p w:rsidR="00D93DC2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Did the Court  comment on the merit, lack of merit and/or frivolity of the plaintiff’s claims?:</w:t>
            </w:r>
          </w:p>
        </w:tc>
        <w:tc>
          <w:tcPr>
            <w:tcW w:w="9378" w:type="dxa"/>
          </w:tcPr>
          <w:p w:rsidR="00D93DC2" w:rsidRDefault="00762C53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Unknown</w:t>
            </w:r>
          </w:p>
        </w:tc>
      </w:tr>
      <w:tr w:rsidR="00D93DC2" w:rsidTr="00D93DC2">
        <w:tc>
          <w:tcPr>
            <w:tcW w:w="3798" w:type="dxa"/>
          </w:tcPr>
          <w:p w:rsidR="00D93DC2" w:rsidRDefault="00D93DC2" w:rsidP="00D93D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Key Documents:</w:t>
            </w:r>
          </w:p>
        </w:tc>
        <w:tc>
          <w:tcPr>
            <w:tcW w:w="9378" w:type="dxa"/>
          </w:tcPr>
          <w:p w:rsidR="00762C53" w:rsidRDefault="004B4536" w:rsidP="00762C53">
            <w:pPr>
              <w:widowControl/>
              <w:numPr>
                <w:ilvl w:val="0"/>
                <w:numId w:val="1"/>
              </w:numPr>
              <w:shd w:val="clear" w:color="auto" w:fill="FFFFFF"/>
              <w:spacing w:after="225" w:line="240" w:lineRule="auto"/>
              <w:ind w:left="1020"/>
              <w:rPr>
                <w:rFonts w:ascii="Helvetica" w:eastAsia="Times New Roman" w:hAnsi="Helvetica" w:cs="Helvetica"/>
                <w:color w:val="333333"/>
              </w:rPr>
            </w:pPr>
            <w:hyperlink r:id="rId8" w:history="1">
              <w:r w:rsidR="00762C53"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Petition</w:t>
              </w:r>
            </w:hyperlink>
            <w:r w:rsidR="00762C53">
              <w:rPr>
                <w:rStyle w:val="apple-converted-space"/>
                <w:rFonts w:ascii="Helvetica" w:hAnsi="Helvetica" w:cs="Helvetica"/>
                <w:color w:val="333333"/>
              </w:rPr>
              <w:t> </w:t>
            </w:r>
            <w:r w:rsidR="00762C53">
              <w:rPr>
                <w:rFonts w:ascii="Helvetica" w:hAnsi="Helvetica" w:cs="Helvetica"/>
                <w:color w:val="333333"/>
              </w:rPr>
              <w:t>(18 March 2002) [PDF, 81 KB]</w:t>
            </w:r>
          </w:p>
          <w:p w:rsidR="00762C53" w:rsidRDefault="004B4536" w:rsidP="00762C53">
            <w:pPr>
              <w:widowControl/>
              <w:numPr>
                <w:ilvl w:val="0"/>
                <w:numId w:val="1"/>
              </w:numPr>
              <w:shd w:val="clear" w:color="auto" w:fill="FFFFFF"/>
              <w:spacing w:after="225" w:line="240" w:lineRule="auto"/>
              <w:ind w:left="1020"/>
              <w:rPr>
                <w:rFonts w:ascii="Helvetica" w:hAnsi="Helvetica" w:cs="Helvetica"/>
                <w:color w:val="333333"/>
              </w:rPr>
            </w:pPr>
            <w:hyperlink r:id="rId9" w:history="1">
              <w:r w:rsidR="00762C53"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Answer</w:t>
              </w:r>
            </w:hyperlink>
            <w:r w:rsidR="00762C53">
              <w:rPr>
                <w:rStyle w:val="apple-converted-space"/>
                <w:rFonts w:ascii="Helvetica" w:hAnsi="Helvetica" w:cs="Helvetica"/>
                <w:color w:val="333333"/>
              </w:rPr>
              <w:t> </w:t>
            </w:r>
            <w:r w:rsidR="00762C53">
              <w:rPr>
                <w:rFonts w:ascii="Helvetica" w:hAnsi="Helvetica" w:cs="Helvetica"/>
                <w:color w:val="333333"/>
              </w:rPr>
              <w:t>(17 April 2002) [PDF, 64 KB]</w:t>
            </w:r>
          </w:p>
          <w:p w:rsidR="00762C53" w:rsidRDefault="004B4536" w:rsidP="00762C53">
            <w:pPr>
              <w:widowControl/>
              <w:numPr>
                <w:ilvl w:val="0"/>
                <w:numId w:val="1"/>
              </w:numPr>
              <w:shd w:val="clear" w:color="auto" w:fill="FFFFFF"/>
              <w:spacing w:after="225" w:line="240" w:lineRule="auto"/>
              <w:ind w:left="1020"/>
              <w:rPr>
                <w:rFonts w:ascii="Helvetica" w:hAnsi="Helvetica" w:cs="Helvetica"/>
                <w:color w:val="333333"/>
              </w:rPr>
            </w:pPr>
            <w:hyperlink r:id="rId10" w:history="1">
              <w:r w:rsidR="00762C53"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Amended Answer</w:t>
              </w:r>
            </w:hyperlink>
            <w:r w:rsidR="00762C53">
              <w:rPr>
                <w:rStyle w:val="apple-converted-space"/>
                <w:rFonts w:ascii="Helvetica" w:hAnsi="Helvetica" w:cs="Helvetica"/>
                <w:color w:val="333333"/>
              </w:rPr>
              <w:t> </w:t>
            </w:r>
            <w:r w:rsidR="00762C53">
              <w:rPr>
                <w:rFonts w:ascii="Helvetica" w:hAnsi="Helvetica" w:cs="Helvetica"/>
                <w:color w:val="333333"/>
              </w:rPr>
              <w:t>(1 May 2002) [PDF, 68 KB]</w:t>
            </w:r>
          </w:p>
          <w:p w:rsidR="00762C53" w:rsidRDefault="00762C53" w:rsidP="00762C53">
            <w:pPr>
              <w:widowControl/>
              <w:numPr>
                <w:ilvl w:val="0"/>
                <w:numId w:val="1"/>
              </w:numPr>
              <w:shd w:val="clear" w:color="auto" w:fill="FFFFFF"/>
              <w:spacing w:after="225" w:line="240" w:lineRule="auto"/>
              <w:ind w:left="1020"/>
              <w:rPr>
                <w:rFonts w:ascii="Helvetica" w:hAnsi="Helvetica" w:cs="Helvetica"/>
                <w:color w:val="333333"/>
              </w:rPr>
            </w:pPr>
            <w:r>
              <w:rPr>
                <w:rFonts w:ascii="Helvetica" w:hAnsi="Helvetica" w:cs="Helvetica"/>
                <w:color w:val="333333"/>
              </w:rPr>
              <w:t>ICANN's Motion for Summary Judgment (21 May 2002):</w:t>
            </w:r>
          </w:p>
          <w:p w:rsidR="00762C53" w:rsidRDefault="004B4536" w:rsidP="00762C53">
            <w:pPr>
              <w:widowControl/>
              <w:numPr>
                <w:ilvl w:val="1"/>
                <w:numId w:val="1"/>
              </w:numPr>
              <w:shd w:val="clear" w:color="auto" w:fill="FFFFFF"/>
              <w:spacing w:after="225" w:line="240" w:lineRule="auto"/>
              <w:ind w:left="2040"/>
              <w:rPr>
                <w:rFonts w:ascii="Helvetica" w:hAnsi="Helvetica" w:cs="Helvetica"/>
                <w:color w:val="333333"/>
              </w:rPr>
            </w:pPr>
            <w:hyperlink r:id="rId11" w:history="1">
              <w:r w:rsidR="00762C53"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Memorandum of Points and Authorities</w:t>
              </w:r>
            </w:hyperlink>
            <w:r w:rsidR="00762C53">
              <w:rPr>
                <w:rStyle w:val="apple-converted-space"/>
                <w:rFonts w:ascii="Helvetica" w:hAnsi="Helvetica" w:cs="Helvetica"/>
                <w:color w:val="333333"/>
              </w:rPr>
              <w:t> </w:t>
            </w:r>
            <w:r w:rsidR="00762C53">
              <w:rPr>
                <w:rFonts w:ascii="Helvetica" w:hAnsi="Helvetica" w:cs="Helvetica"/>
                <w:color w:val="333333"/>
              </w:rPr>
              <w:t>[PDF, 96 KB]</w:t>
            </w:r>
          </w:p>
          <w:p w:rsidR="00762C53" w:rsidRDefault="004B4536" w:rsidP="00762C53">
            <w:pPr>
              <w:widowControl/>
              <w:numPr>
                <w:ilvl w:val="1"/>
                <w:numId w:val="1"/>
              </w:numPr>
              <w:shd w:val="clear" w:color="auto" w:fill="FFFFFF"/>
              <w:spacing w:after="225" w:line="240" w:lineRule="auto"/>
              <w:ind w:left="2040"/>
              <w:rPr>
                <w:rFonts w:ascii="Helvetica" w:hAnsi="Helvetica" w:cs="Helvetica"/>
                <w:color w:val="333333"/>
              </w:rPr>
            </w:pPr>
            <w:hyperlink r:id="rId12" w:history="1">
              <w:r w:rsidR="00762C53"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Declaration of Vinton Cerf</w:t>
              </w:r>
            </w:hyperlink>
            <w:r w:rsidR="00762C53">
              <w:rPr>
                <w:rStyle w:val="apple-converted-space"/>
                <w:rFonts w:ascii="Helvetica" w:hAnsi="Helvetica" w:cs="Helvetica"/>
                <w:color w:val="333333"/>
              </w:rPr>
              <w:t> </w:t>
            </w:r>
            <w:r w:rsidR="00762C53">
              <w:rPr>
                <w:rFonts w:ascii="Helvetica" w:hAnsi="Helvetica" w:cs="Helvetica"/>
                <w:color w:val="333333"/>
              </w:rPr>
              <w:t>[PDF, 430 KB]</w:t>
            </w:r>
          </w:p>
          <w:p w:rsidR="00762C53" w:rsidRDefault="004B4536" w:rsidP="00762C53">
            <w:pPr>
              <w:widowControl/>
              <w:numPr>
                <w:ilvl w:val="1"/>
                <w:numId w:val="1"/>
              </w:numPr>
              <w:shd w:val="clear" w:color="auto" w:fill="FFFFFF"/>
              <w:spacing w:after="225" w:line="240" w:lineRule="auto"/>
              <w:ind w:left="2040"/>
              <w:rPr>
                <w:rFonts w:ascii="Helvetica" w:hAnsi="Helvetica" w:cs="Helvetica"/>
                <w:color w:val="333333"/>
              </w:rPr>
            </w:pPr>
            <w:hyperlink r:id="rId13" w:history="1">
              <w:r w:rsidR="00762C53"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Declaration of M. Stuart Lynn</w:t>
              </w:r>
            </w:hyperlink>
            <w:r w:rsidR="00762C53">
              <w:rPr>
                <w:rStyle w:val="apple-converted-space"/>
                <w:rFonts w:ascii="Helvetica" w:hAnsi="Helvetica" w:cs="Helvetica"/>
                <w:color w:val="333333"/>
              </w:rPr>
              <w:t> </w:t>
            </w:r>
            <w:r w:rsidR="00762C53">
              <w:rPr>
                <w:rFonts w:ascii="Helvetica" w:hAnsi="Helvetica" w:cs="Helvetica"/>
                <w:color w:val="333333"/>
              </w:rPr>
              <w:t>[PDF, 3.87 MB]</w:t>
            </w:r>
          </w:p>
          <w:p w:rsidR="00762C53" w:rsidRDefault="004B4536" w:rsidP="00762C53">
            <w:pPr>
              <w:widowControl/>
              <w:numPr>
                <w:ilvl w:val="1"/>
                <w:numId w:val="1"/>
              </w:numPr>
              <w:shd w:val="clear" w:color="auto" w:fill="FFFFFF"/>
              <w:spacing w:after="225" w:line="240" w:lineRule="auto"/>
              <w:ind w:left="2040"/>
              <w:rPr>
                <w:rFonts w:ascii="Helvetica" w:hAnsi="Helvetica" w:cs="Helvetica"/>
                <w:color w:val="333333"/>
              </w:rPr>
            </w:pPr>
            <w:hyperlink r:id="rId14" w:history="1">
              <w:r w:rsidR="00762C53"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 xml:space="preserve">Declaration of Louis </w:t>
              </w:r>
              <w:proofErr w:type="spellStart"/>
              <w:r w:rsidR="00762C53"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Touton</w:t>
              </w:r>
              <w:proofErr w:type="spellEnd"/>
            </w:hyperlink>
            <w:r w:rsidR="00762C53">
              <w:rPr>
                <w:rStyle w:val="apple-converted-space"/>
                <w:rFonts w:ascii="Helvetica" w:hAnsi="Helvetica" w:cs="Helvetica"/>
                <w:color w:val="333333"/>
              </w:rPr>
              <w:t> </w:t>
            </w:r>
            <w:r w:rsidR="00762C53">
              <w:rPr>
                <w:rFonts w:ascii="Helvetica" w:hAnsi="Helvetica" w:cs="Helvetica"/>
                <w:color w:val="333333"/>
              </w:rPr>
              <w:t>[PDF, 5.33 MB]</w:t>
            </w:r>
          </w:p>
          <w:p w:rsidR="00762C53" w:rsidRDefault="004B4536" w:rsidP="00762C53">
            <w:pPr>
              <w:widowControl/>
              <w:numPr>
                <w:ilvl w:val="1"/>
                <w:numId w:val="1"/>
              </w:numPr>
              <w:shd w:val="clear" w:color="auto" w:fill="FFFFFF"/>
              <w:spacing w:after="225" w:line="240" w:lineRule="auto"/>
              <w:ind w:left="2040"/>
              <w:rPr>
                <w:rFonts w:ascii="Helvetica" w:hAnsi="Helvetica" w:cs="Helvetica"/>
                <w:color w:val="333333"/>
              </w:rPr>
            </w:pPr>
            <w:hyperlink r:id="rId15" w:history="1">
              <w:r w:rsidR="00762C53"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Separate Statement of Undisputed Material Facts</w:t>
              </w:r>
            </w:hyperlink>
            <w:r w:rsidR="00762C53">
              <w:rPr>
                <w:rStyle w:val="apple-converted-space"/>
                <w:rFonts w:ascii="Helvetica" w:hAnsi="Helvetica" w:cs="Helvetica"/>
                <w:color w:val="333333"/>
              </w:rPr>
              <w:t> </w:t>
            </w:r>
            <w:r w:rsidR="00762C53">
              <w:rPr>
                <w:rFonts w:ascii="Helvetica" w:hAnsi="Helvetica" w:cs="Helvetica"/>
                <w:color w:val="333333"/>
              </w:rPr>
              <w:t>[PDF, 55 KB]</w:t>
            </w:r>
          </w:p>
          <w:p w:rsidR="00762C53" w:rsidRDefault="004B4536" w:rsidP="00762C53">
            <w:pPr>
              <w:widowControl/>
              <w:numPr>
                <w:ilvl w:val="0"/>
                <w:numId w:val="1"/>
              </w:numPr>
              <w:shd w:val="clear" w:color="auto" w:fill="FFFFFF"/>
              <w:spacing w:after="225" w:line="240" w:lineRule="auto"/>
              <w:ind w:left="1020"/>
              <w:rPr>
                <w:rFonts w:ascii="Helvetica" w:hAnsi="Helvetica" w:cs="Helvetica"/>
                <w:color w:val="333333"/>
              </w:rPr>
            </w:pPr>
            <w:hyperlink r:id="rId16" w:history="1">
              <w:r w:rsidR="00762C53"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ICANN's Reply Memorandum</w:t>
              </w:r>
            </w:hyperlink>
            <w:r w:rsidR="00762C53">
              <w:rPr>
                <w:rStyle w:val="apple-converted-space"/>
                <w:rFonts w:ascii="Helvetica" w:hAnsi="Helvetica" w:cs="Helvetica"/>
                <w:color w:val="333333"/>
              </w:rPr>
              <w:t> </w:t>
            </w:r>
            <w:r w:rsidR="00762C53">
              <w:rPr>
                <w:rFonts w:ascii="Helvetica" w:hAnsi="Helvetica" w:cs="Helvetica"/>
                <w:color w:val="333333"/>
              </w:rPr>
              <w:t>(15 July 2002) [PDF, 52 KB]</w:t>
            </w:r>
          </w:p>
          <w:p w:rsidR="00762C53" w:rsidRDefault="004B4536" w:rsidP="00762C53">
            <w:pPr>
              <w:widowControl/>
              <w:numPr>
                <w:ilvl w:val="0"/>
                <w:numId w:val="1"/>
              </w:numPr>
              <w:shd w:val="clear" w:color="auto" w:fill="FFFFFF"/>
              <w:spacing w:after="225" w:line="240" w:lineRule="auto"/>
              <w:ind w:left="1020"/>
              <w:rPr>
                <w:rFonts w:ascii="Helvetica" w:hAnsi="Helvetica" w:cs="Helvetica"/>
                <w:color w:val="333333"/>
              </w:rPr>
            </w:pPr>
            <w:hyperlink r:id="rId17" w:history="1">
              <w:r w:rsidR="00762C53"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Advisory on Court Ruling in Auerbach v.</w:t>
              </w:r>
              <w:r w:rsidR="00762C53">
                <w:rPr>
                  <w:rStyle w:val="apple-converted-space"/>
                  <w:rFonts w:ascii="Helvetica" w:hAnsi="Helvetica" w:cs="Helvetica"/>
                  <w:color w:val="0098D5"/>
                </w:rPr>
                <w:t> </w:t>
              </w:r>
              <w:r w:rsidR="00762C53"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ICANN</w:t>
              </w:r>
              <w:r w:rsidR="00762C53">
                <w:rPr>
                  <w:rStyle w:val="apple-converted-space"/>
                  <w:rFonts w:ascii="Helvetica" w:hAnsi="Helvetica" w:cs="Helvetica"/>
                  <w:color w:val="0098D5"/>
                </w:rPr>
                <w:t> </w:t>
              </w:r>
              <w:r w:rsidR="00762C53"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Lawsuit</w:t>
              </w:r>
            </w:hyperlink>
            <w:r w:rsidR="00762C53">
              <w:rPr>
                <w:rStyle w:val="apple-converted-space"/>
                <w:rFonts w:ascii="Helvetica" w:hAnsi="Helvetica" w:cs="Helvetica"/>
                <w:color w:val="333333"/>
              </w:rPr>
              <w:t> </w:t>
            </w:r>
            <w:r w:rsidR="00762C53">
              <w:rPr>
                <w:rFonts w:ascii="Helvetica" w:hAnsi="Helvetica" w:cs="Helvetica"/>
                <w:color w:val="333333"/>
              </w:rPr>
              <w:t>(29 July 2002)</w:t>
            </w:r>
          </w:p>
          <w:p w:rsidR="00762C53" w:rsidRDefault="004B4536" w:rsidP="00762C53">
            <w:pPr>
              <w:widowControl/>
              <w:numPr>
                <w:ilvl w:val="0"/>
                <w:numId w:val="1"/>
              </w:numPr>
              <w:shd w:val="clear" w:color="auto" w:fill="FFFFFF"/>
              <w:spacing w:after="225" w:line="240" w:lineRule="auto"/>
              <w:ind w:left="1020"/>
              <w:rPr>
                <w:rFonts w:ascii="Helvetica" w:hAnsi="Helvetica" w:cs="Helvetica"/>
                <w:color w:val="333333"/>
              </w:rPr>
            </w:pPr>
            <w:hyperlink r:id="rId18" w:history="1">
              <w:r w:rsidR="00762C53"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Advisory on Documents Provided to Karl Auerbach</w:t>
              </w:r>
            </w:hyperlink>
            <w:r w:rsidR="00762C53">
              <w:rPr>
                <w:rStyle w:val="apple-converted-space"/>
                <w:rFonts w:ascii="Helvetica" w:hAnsi="Helvetica" w:cs="Helvetica"/>
                <w:color w:val="333333"/>
              </w:rPr>
              <w:t> </w:t>
            </w:r>
            <w:r w:rsidR="00762C53">
              <w:rPr>
                <w:rFonts w:ascii="Helvetica" w:hAnsi="Helvetica" w:cs="Helvetica"/>
                <w:color w:val="333333"/>
              </w:rPr>
              <w:t>(4 August 2002)</w:t>
            </w:r>
          </w:p>
          <w:p w:rsidR="00762C53" w:rsidRDefault="004B4536" w:rsidP="00762C53">
            <w:pPr>
              <w:widowControl/>
              <w:numPr>
                <w:ilvl w:val="0"/>
                <w:numId w:val="1"/>
              </w:numPr>
              <w:shd w:val="clear" w:color="auto" w:fill="FFFFFF"/>
              <w:spacing w:after="225" w:line="240" w:lineRule="auto"/>
              <w:ind w:left="1020"/>
              <w:rPr>
                <w:rFonts w:ascii="Helvetica" w:hAnsi="Helvetica" w:cs="Helvetica"/>
                <w:color w:val="333333"/>
              </w:rPr>
            </w:pPr>
            <w:hyperlink r:id="rId19" w:history="1">
              <w:r w:rsidR="00762C53">
                <w:rPr>
                  <w:rStyle w:val="Hyperlink"/>
                  <w:rFonts w:ascii="Helvetica" w:hAnsi="Helvetica" w:cs="Helvetica"/>
                  <w:color w:val="0098D5"/>
                  <w:u w:val="none"/>
                </w:rPr>
                <w:t>Additional Documents Provided</w:t>
              </w:r>
            </w:hyperlink>
            <w:r w:rsidR="00762C53">
              <w:rPr>
                <w:rStyle w:val="apple-converted-space"/>
                <w:rFonts w:ascii="Helvetica" w:hAnsi="Helvetica" w:cs="Helvetica"/>
                <w:color w:val="333333"/>
              </w:rPr>
              <w:t> </w:t>
            </w:r>
            <w:r w:rsidR="00762C53">
              <w:rPr>
                <w:rFonts w:ascii="Helvetica" w:hAnsi="Helvetica" w:cs="Helvetica"/>
                <w:color w:val="333333"/>
              </w:rPr>
              <w:t>(8 August 2002)</w:t>
            </w:r>
          </w:p>
          <w:p w:rsidR="00D93DC2" w:rsidRDefault="00D93DC2" w:rsidP="00D93DC2">
            <w:pPr>
              <w:rPr>
                <w:sz w:val="24"/>
                <w:szCs w:val="24"/>
              </w:rPr>
            </w:pPr>
          </w:p>
        </w:tc>
      </w:tr>
    </w:tbl>
    <w:p w:rsidR="00DB16B5" w:rsidRDefault="00DB16B5" w:rsidP="00DB16B5">
      <w:pPr>
        <w:rPr>
          <w:sz w:val="28"/>
          <w:szCs w:val="28"/>
        </w:rPr>
      </w:pPr>
    </w:p>
    <w:p w:rsidR="00D93DC2" w:rsidRDefault="00D93DC2"/>
    <w:sectPr w:rsidR="00D93DC2">
      <w:pgSz w:w="15840" w:h="122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536" w:rsidRDefault="004B4536" w:rsidP="00DB16B5">
      <w:pPr>
        <w:spacing w:after="0" w:line="240" w:lineRule="auto"/>
      </w:pPr>
      <w:r>
        <w:separator/>
      </w:r>
    </w:p>
  </w:endnote>
  <w:endnote w:type="continuationSeparator" w:id="0">
    <w:p w:rsidR="004B4536" w:rsidRDefault="004B4536" w:rsidP="00DB1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536" w:rsidRDefault="004B4536" w:rsidP="00DB16B5">
      <w:pPr>
        <w:spacing w:after="0" w:line="240" w:lineRule="auto"/>
      </w:pPr>
      <w:r>
        <w:separator/>
      </w:r>
    </w:p>
  </w:footnote>
  <w:footnote w:type="continuationSeparator" w:id="0">
    <w:p w:rsidR="004B4536" w:rsidRDefault="004B4536" w:rsidP="00DB16B5">
      <w:pPr>
        <w:spacing w:after="0" w:line="240" w:lineRule="auto"/>
      </w:pPr>
      <w:r>
        <w:continuationSeparator/>
      </w:r>
    </w:p>
  </w:footnote>
  <w:footnote w:id="1">
    <w:p w:rsidR="00DB16B5" w:rsidRDefault="00DB16B5" w:rsidP="00DB16B5">
      <w:pPr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 xml:space="preserve">Show each party and their status (Plaintiff (P), Defendant (D), or other).  Please list any non-party participants, such as  Amicus Curiae (AC). </w:t>
      </w:r>
    </w:p>
  </w:footnote>
  <w:footnote w:id="2">
    <w:p w:rsidR="00DB16B5" w:rsidRDefault="00DB16B5" w:rsidP="00DB16B5">
      <w:pPr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For example, breach of contract, tortious interference with contract, violation of antitrust laws, etc. (state which laws)</w:t>
      </w:r>
    </w:p>
  </w:footnote>
  <w:footnote w:id="3">
    <w:p w:rsidR="00D93DC2" w:rsidRDefault="00D93DC2" w:rsidP="00DB16B5">
      <w:pPr>
        <w:spacing w:after="0" w:line="240" w:lineRule="auto"/>
      </w:pPr>
      <w:r>
        <w:rPr>
          <w:vertAlign w:val="superscript"/>
        </w:rPr>
        <w:footnoteRef/>
      </w:r>
      <w:r>
        <w:t xml:space="preserve"> For example, was there a challenge to venue, challenge to change of venue, challenge to governing law, challenge to application of “choice of law” provision.  Please describe the outcome as well as the challenge.</w:t>
      </w:r>
    </w:p>
  </w:footnote>
  <w:footnote w:id="4">
    <w:p w:rsidR="00D93DC2" w:rsidRDefault="00D93DC2" w:rsidP="00DB16B5">
      <w:pPr>
        <w:spacing w:after="0" w:line="240" w:lineRule="auto"/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t>Indicate whether the case had, will have or could have an effect on ICANN’s accountability mechanisms or the operation of ICANN’s policies.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F62CD"/>
    <w:multiLevelType w:val="multilevel"/>
    <w:tmpl w:val="1C007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6B5"/>
    <w:rsid w:val="0007741F"/>
    <w:rsid w:val="000D6D48"/>
    <w:rsid w:val="00157168"/>
    <w:rsid w:val="00170295"/>
    <w:rsid w:val="001B78B9"/>
    <w:rsid w:val="001C5131"/>
    <w:rsid w:val="00204585"/>
    <w:rsid w:val="00244370"/>
    <w:rsid w:val="00260FAE"/>
    <w:rsid w:val="00275914"/>
    <w:rsid w:val="002B1AB5"/>
    <w:rsid w:val="002D327D"/>
    <w:rsid w:val="002D41D2"/>
    <w:rsid w:val="00360347"/>
    <w:rsid w:val="003774B8"/>
    <w:rsid w:val="003905C0"/>
    <w:rsid w:val="0041142E"/>
    <w:rsid w:val="0045144E"/>
    <w:rsid w:val="004B0345"/>
    <w:rsid w:val="004B4536"/>
    <w:rsid w:val="004E7375"/>
    <w:rsid w:val="005B4566"/>
    <w:rsid w:val="005B7F13"/>
    <w:rsid w:val="00604E49"/>
    <w:rsid w:val="00645407"/>
    <w:rsid w:val="006C1C0F"/>
    <w:rsid w:val="006C1EAD"/>
    <w:rsid w:val="006D332D"/>
    <w:rsid w:val="006D3F22"/>
    <w:rsid w:val="0073113B"/>
    <w:rsid w:val="00762C53"/>
    <w:rsid w:val="00771775"/>
    <w:rsid w:val="0079530B"/>
    <w:rsid w:val="007E5E86"/>
    <w:rsid w:val="008935D2"/>
    <w:rsid w:val="009052D9"/>
    <w:rsid w:val="009438DD"/>
    <w:rsid w:val="009458FD"/>
    <w:rsid w:val="009865FF"/>
    <w:rsid w:val="009A55D4"/>
    <w:rsid w:val="00A27B16"/>
    <w:rsid w:val="00A35803"/>
    <w:rsid w:val="00A43105"/>
    <w:rsid w:val="00A6329E"/>
    <w:rsid w:val="00B6192F"/>
    <w:rsid w:val="00B927F7"/>
    <w:rsid w:val="00C17ACB"/>
    <w:rsid w:val="00C4424F"/>
    <w:rsid w:val="00C448FA"/>
    <w:rsid w:val="00CE5A5F"/>
    <w:rsid w:val="00D05424"/>
    <w:rsid w:val="00D12B14"/>
    <w:rsid w:val="00D93DC2"/>
    <w:rsid w:val="00DB16B5"/>
    <w:rsid w:val="00E07671"/>
    <w:rsid w:val="00EB632C"/>
    <w:rsid w:val="00EE77E7"/>
    <w:rsid w:val="00EF2AB6"/>
    <w:rsid w:val="00F04438"/>
    <w:rsid w:val="00F2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B16B5"/>
    <w:pPr>
      <w:widowControl w:val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32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530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762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B16B5"/>
    <w:pPr>
      <w:widowControl w:val="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327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9530B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762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n.org/en/news/litigation/auerbach-v-icann/petition-18mar02-en.pdf" TargetMode="External"/><Relationship Id="rId13" Type="http://schemas.openxmlformats.org/officeDocument/2006/relationships/hyperlink" Target="https://www.icann.org/en/news/litigation/auerbach-v-icann/lynn-decl-16may02-en.pdf" TargetMode="External"/><Relationship Id="rId18" Type="http://schemas.openxmlformats.org/officeDocument/2006/relationships/hyperlink" Target="https://www.icann.org/en/news/announcements/advisory-04aug02-en.htm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cann.org/en/news/litigation/auerbach-v-icann/cerf-decl-16apr02-en.pdf" TargetMode="External"/><Relationship Id="rId17" Type="http://schemas.openxmlformats.org/officeDocument/2006/relationships/hyperlink" Target="https://www.icann.org/en/news/announcements/advisory-29jul02-en.ht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cann.org/en/news/litigation/auerbach-v-icann/icann-reply-memo-15jul02-en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icann.org/en/news/litigation/auerbach-v-icann/icann-summary-judgment-memo-17may02-en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cann.org/en/news/litigation/auerbach-v-icann/icann-separate-statement-17may02-en.pdf" TargetMode="External"/><Relationship Id="rId10" Type="http://schemas.openxmlformats.org/officeDocument/2006/relationships/hyperlink" Target="https://www.icann.org/en/news/litigation/auerbach-v-icann/amended-answer-01may02-en.pdf" TargetMode="External"/><Relationship Id="rId19" Type="http://schemas.openxmlformats.org/officeDocument/2006/relationships/hyperlink" Target="https://www.icann.org/en/news/litigation/auerbach-v-icann/documents-provided-08aug02-en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cann.org/en/news/litigation/auerbach-v-icann/answer-17apr02-en.pdf" TargetMode="External"/><Relationship Id="rId14" Type="http://schemas.openxmlformats.org/officeDocument/2006/relationships/hyperlink" Target="https://www.icann.org/en/news/litigation/auerbach-v-icann/touton-decl-16may02-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4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McAuley, David</dc:creator>
  <cp:lastModifiedBy>Greg Shatan</cp:lastModifiedBy>
  <cp:revision>5</cp:revision>
  <cp:lastPrinted>2017-05-09T05:37:00Z</cp:lastPrinted>
  <dcterms:created xsi:type="dcterms:W3CDTF">2017-05-07T21:50:00Z</dcterms:created>
  <dcterms:modified xsi:type="dcterms:W3CDTF">2017-05-09T05:38:00Z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1405395825</vt:i4>
  </property>
  <property fmtid="{D5CDD505-2E9C-101B-9397-08002B2CF9AE}" pid="3" name="_NewReviewCycle">
    <vt:lpwstr/>
  </property>
  <property fmtid="{D5CDD505-2E9C-101B-9397-08002B2CF9AE}" pid="4" name="_EmailSubject">
    <vt:lpwstr>ICANN litigation review in the case entitled Yeager v. Go Daddy et al (including ICANN)</vt:lpwstr>
  </property>
  <property fmtid="{D5CDD505-2E9C-101B-9397-08002B2CF9AE}" pid="5" name="_AuthorEmail">
    <vt:lpwstr>dmcauley@Verisign.com</vt:lpwstr>
  </property>
  <property fmtid="{D5CDD505-2E9C-101B-9397-08002B2CF9AE}" pid="6" name="_AuthorEmailDisplayName">
    <vt:lpwstr>McAuley, David</vt:lpwstr>
  </property>
  <property fmtid="{D5CDD505-2E9C-101B-9397-08002B2CF9AE}" pid="7" name="_ReviewingToolsShownOnce">
    <vt:lpwstr/>
  </property>
</Properties>
</file>