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B5" w:rsidRDefault="00DB16B5" w:rsidP="00DB16B5">
      <w:pPr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JURISDICTION SUBGROUP ICANN LITIGATION SUMMARY v2.1</w:t>
      </w:r>
    </w:p>
    <w:tbl>
      <w:tblPr>
        <w:tblW w:w="131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9378"/>
      </w:tblGrid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Reviewed by:</w:t>
            </w:r>
          </w:p>
        </w:tc>
        <w:tc>
          <w:tcPr>
            <w:tcW w:w="937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McAuley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Case:</w:t>
            </w:r>
          </w:p>
        </w:tc>
        <w:tc>
          <w:tcPr>
            <w:tcW w:w="9378" w:type="dxa"/>
          </w:tcPr>
          <w:p w:rsidR="00DB16B5" w:rsidRPr="00A27B16" w:rsidRDefault="002D327D" w:rsidP="00A0145A">
            <w:hyperlink r:id="rId6" w:history="1">
              <w:r w:rsidRPr="002D327D">
                <w:rPr>
                  <w:rStyle w:val="Hyperlink"/>
                </w:rPr>
                <w:t>Yeager</w:t>
              </w:r>
            </w:hyperlink>
            <w:r w:rsidR="00A27B16">
              <w:t xml:space="preserve"> v. </w:t>
            </w:r>
            <w:r w:rsidR="00A27B16">
              <w:t>Go</w:t>
            </w:r>
            <w:r w:rsidR="00A6329E">
              <w:t xml:space="preserve"> </w:t>
            </w:r>
            <w:r w:rsidR="00A27B16">
              <w:t>Daddy et al (including ICANN)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Parties: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378" w:type="dxa"/>
          </w:tcPr>
          <w:p w:rsidR="004B0345" w:rsidRDefault="002D327D" w:rsidP="00A0145A">
            <w:r>
              <w:t>Ann. M. Yeager</w:t>
            </w:r>
            <w:r w:rsidR="00170295">
              <w:t xml:space="preserve"> (Plaintiff)</w:t>
            </w:r>
            <w:r w:rsidR="004B0345">
              <w:t>.</w:t>
            </w:r>
          </w:p>
          <w:p w:rsidR="00DB16B5" w:rsidRPr="002D327D" w:rsidRDefault="00170295" w:rsidP="00A0145A">
            <w:r>
              <w:t xml:space="preserve">Defendants: </w:t>
            </w:r>
            <w:r w:rsidR="002D327D">
              <w:t>Go</w:t>
            </w:r>
            <w:r w:rsidR="00A6329E">
              <w:t xml:space="preserve"> </w:t>
            </w:r>
            <w:r w:rsidR="002D327D">
              <w:t xml:space="preserve">Daddy Group Inc.; </w:t>
            </w:r>
            <w:r w:rsidR="0073113B">
              <w:t xml:space="preserve">GoDaddy.com; </w:t>
            </w:r>
            <w:r w:rsidR="002D327D">
              <w:t>ICANN</w:t>
            </w:r>
            <w:r w:rsidR="00771775">
              <w:t>;</w:t>
            </w:r>
            <w:r w:rsidR="002D327D">
              <w:t xml:space="preserve"> </w:t>
            </w:r>
            <w:r w:rsidR="00F04438">
              <w:t xml:space="preserve">Ibrahim </w:t>
            </w:r>
            <w:proofErr w:type="spellStart"/>
            <w:r w:rsidR="00F04438">
              <w:t>Kazanci</w:t>
            </w:r>
            <w:proofErr w:type="spellEnd"/>
            <w:r w:rsidR="00771775">
              <w:t>;</w:t>
            </w:r>
            <w:r w:rsidR="00F04438">
              <w:t xml:space="preserve"> </w:t>
            </w:r>
            <w:r w:rsidR="00771775">
              <w:t xml:space="preserve">and </w:t>
            </w:r>
            <w:r w:rsidR="002D327D">
              <w:t>Unknown registrant(</w:t>
            </w:r>
            <w:proofErr w:type="gramStart"/>
            <w:r w:rsidR="002D327D">
              <w:t>s)</w:t>
            </w:r>
            <w:r w:rsidR="00C448FA">
              <w:t xml:space="preserve"> </w:t>
            </w:r>
            <w:r w:rsidR="00771775">
              <w:t xml:space="preserve"> -</w:t>
            </w:r>
            <w:proofErr w:type="gramEnd"/>
            <w:r w:rsidR="00771775">
              <w:t xml:space="preserve"> </w:t>
            </w:r>
            <w:proofErr w:type="spellStart"/>
            <w:r w:rsidR="00C448FA">
              <w:t>Kazanci</w:t>
            </w:r>
            <w:proofErr w:type="spellEnd"/>
            <w:r w:rsidR="00C448FA">
              <w:t xml:space="preserve"> appears to be latest registrant of contested domain name</w:t>
            </w:r>
            <w:r w:rsidR="00771775">
              <w:t>.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of Parties:</w:t>
            </w:r>
          </w:p>
        </w:tc>
        <w:tc>
          <w:tcPr>
            <w:tcW w:w="9378" w:type="dxa"/>
          </w:tcPr>
          <w:p w:rsidR="00DB16B5" w:rsidRDefault="0007741F" w:rsidP="00A0145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All</w:t>
            </w:r>
            <w:proofErr w:type="gramEnd"/>
            <w:r>
              <w:rPr>
                <w:sz w:val="24"/>
                <w:szCs w:val="24"/>
              </w:rPr>
              <w:t xml:space="preserve"> appear to be US citizens except </w:t>
            </w:r>
            <w:proofErr w:type="spellStart"/>
            <w:r w:rsidR="00170295">
              <w:rPr>
                <w:sz w:val="24"/>
                <w:szCs w:val="24"/>
              </w:rPr>
              <w:t>Kazanci</w:t>
            </w:r>
            <w:proofErr w:type="spellEnd"/>
            <w:r w:rsidR="00170295">
              <w:rPr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ho app</w:t>
            </w:r>
            <w:r w:rsidR="00170295">
              <w:rPr>
                <w:sz w:val="24"/>
                <w:szCs w:val="24"/>
              </w:rPr>
              <w:t xml:space="preserve">ears </w:t>
            </w:r>
            <w:r>
              <w:rPr>
                <w:sz w:val="24"/>
                <w:szCs w:val="24"/>
              </w:rPr>
              <w:t>to be Canadian.</w:t>
            </w:r>
            <w:r w:rsidR="000D6D48">
              <w:rPr>
                <w:sz w:val="24"/>
                <w:szCs w:val="24"/>
              </w:rPr>
              <w:t xml:space="preserve"> </w:t>
            </w:r>
            <w:proofErr w:type="spellStart"/>
            <w:r w:rsidR="000D6D48">
              <w:rPr>
                <w:sz w:val="24"/>
                <w:szCs w:val="24"/>
              </w:rPr>
              <w:t>Kazanci</w:t>
            </w:r>
            <w:proofErr w:type="spellEnd"/>
            <w:r w:rsidR="000D6D48">
              <w:rPr>
                <w:sz w:val="24"/>
                <w:szCs w:val="24"/>
              </w:rPr>
              <w:t xml:space="preserve"> did not appear in the case.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Court/Venue:</w:t>
            </w:r>
          </w:p>
        </w:tc>
        <w:tc>
          <w:tcPr>
            <w:tcW w:w="9378" w:type="dxa"/>
          </w:tcPr>
          <w:p w:rsidR="00DB16B5" w:rsidRPr="0007741F" w:rsidRDefault="0007741F" w:rsidP="00A0145A">
            <w:r>
              <w:t>Court of Common Pleas,</w:t>
            </w:r>
            <w:r>
              <w:t xml:space="preserve"> Franklin County, Ohio, USA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contract involved? Did it have a Choice of Law provision; if so, which </w:t>
            </w:r>
            <w:proofErr w:type="gramStart"/>
            <w:r>
              <w:rPr>
                <w:sz w:val="24"/>
                <w:szCs w:val="24"/>
              </w:rPr>
              <w:t>jurisdiction?:</w:t>
            </w:r>
            <w:proofErr w:type="gramEnd"/>
          </w:p>
        </w:tc>
        <w:tc>
          <w:tcPr>
            <w:tcW w:w="9378" w:type="dxa"/>
          </w:tcPr>
          <w:p w:rsidR="00DB16B5" w:rsidRDefault="009458FD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used to determine conflict of laws issues (i.e., to determine which substantive law applies):</w:t>
            </w:r>
          </w:p>
        </w:tc>
        <w:tc>
          <w:tcPr>
            <w:tcW w:w="9378" w:type="dxa"/>
          </w:tcPr>
          <w:p w:rsidR="00DB16B5" w:rsidRDefault="002B1A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Substantive Law Governing the Dispute (i.e., which law applies to the dispute and/or interpretation of contracts):</w:t>
            </w:r>
          </w:p>
        </w:tc>
        <w:tc>
          <w:tcPr>
            <w:tcW w:w="9378" w:type="dxa"/>
          </w:tcPr>
          <w:p w:rsidR="00DB16B5" w:rsidRDefault="002B1A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Laws of the state of Ohio and US Constitution</w:t>
            </w:r>
            <w:r w:rsidR="0045144E">
              <w:rPr>
                <w:sz w:val="24"/>
                <w:szCs w:val="24"/>
              </w:rPr>
              <w:t xml:space="preserve"> cited on jurisdiction – dismissal based on Ohio rules.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Date Case Began:</w:t>
            </w:r>
          </w:p>
        </w:tc>
        <w:tc>
          <w:tcPr>
            <w:tcW w:w="9378" w:type="dxa"/>
          </w:tcPr>
          <w:p w:rsidR="00DB16B5" w:rsidRDefault="00360347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7, 2011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Case Ended:</w:t>
            </w:r>
          </w:p>
        </w:tc>
        <w:tc>
          <w:tcPr>
            <w:tcW w:w="9378" w:type="dxa"/>
          </w:tcPr>
          <w:p w:rsidR="00DB16B5" w:rsidRDefault="00360347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11, 2011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 of Action: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9378" w:type="dxa"/>
          </w:tcPr>
          <w:p w:rsidR="00A43105" w:rsidRPr="005B4566" w:rsidRDefault="00244370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plaintiff represented herself without legal counsel. The claims appear to amount to copyright infringement, torts, and defamation-related claims – by allowing the term “</w:t>
            </w:r>
            <w:proofErr w:type="spellStart"/>
            <w:r w:rsidR="00645407">
              <w:rPr>
                <w:sz w:val="24"/>
                <w:szCs w:val="24"/>
              </w:rPr>
              <w:t>ayp</w:t>
            </w:r>
            <w:r>
              <w:rPr>
                <w:sz w:val="24"/>
                <w:szCs w:val="24"/>
              </w:rPr>
              <w:t>ress</w:t>
            </w:r>
            <w:proofErr w:type="spellEnd"/>
            <w:r>
              <w:rPr>
                <w:sz w:val="24"/>
                <w:szCs w:val="24"/>
              </w:rPr>
              <w:t xml:space="preserve">” </w:t>
            </w:r>
            <w:r w:rsidR="005B4566">
              <w:t>(</w:t>
            </w:r>
            <w:r w:rsidR="006C1EAD">
              <w:t xml:space="preserve">plaintiff said </w:t>
            </w:r>
            <w:r w:rsidR="000D6D48">
              <w:t xml:space="preserve">this was </w:t>
            </w:r>
            <w:r w:rsidR="005B4566">
              <w:t xml:space="preserve">made up of </w:t>
            </w:r>
            <w:r w:rsidR="006C1EAD">
              <w:t>her</w:t>
            </w:r>
            <w:r w:rsidR="005B4566">
              <w:t xml:space="preserve"> initials – “AY” - and the word “press”)</w:t>
            </w:r>
            <w:r w:rsidR="005B4566">
              <w:t xml:space="preserve"> </w:t>
            </w:r>
            <w:r>
              <w:rPr>
                <w:sz w:val="24"/>
                <w:szCs w:val="24"/>
              </w:rPr>
              <w:t xml:space="preserve">to be used in registering a domain name (that she had previously registered through an agent prior to the registration lapsing).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Presented/</w:t>
            </w:r>
            <w:proofErr w:type="gramStart"/>
            <w:r>
              <w:rPr>
                <w:sz w:val="24"/>
                <w:szCs w:val="24"/>
              </w:rPr>
              <w:t>Brief Summary</w:t>
            </w:r>
            <w:proofErr w:type="gramEnd"/>
            <w:r>
              <w:rPr>
                <w:sz w:val="24"/>
                <w:szCs w:val="24"/>
              </w:rPr>
              <w:t xml:space="preserve"> of Case:</w:t>
            </w:r>
          </w:p>
        </w:tc>
        <w:tc>
          <w:tcPr>
            <w:tcW w:w="9378" w:type="dxa"/>
          </w:tcPr>
          <w:p w:rsidR="00DB16B5" w:rsidRDefault="00645407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plaintiff claimed loss by the fact that another person</w:t>
            </w:r>
            <w:r w:rsidR="002D41D2">
              <w:rPr>
                <w:sz w:val="24"/>
                <w:szCs w:val="24"/>
              </w:rPr>
              <w:t>(s)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was able to</w:t>
            </w:r>
            <w:proofErr w:type="gramEnd"/>
            <w:r>
              <w:rPr>
                <w:sz w:val="24"/>
                <w:szCs w:val="24"/>
              </w:rPr>
              <w:t xml:space="preserve"> register her “copyrighted” term “</w:t>
            </w:r>
            <w:proofErr w:type="spellStart"/>
            <w:r>
              <w:rPr>
                <w:sz w:val="24"/>
                <w:szCs w:val="24"/>
              </w:rPr>
              <w:t>aypress</w:t>
            </w:r>
            <w:proofErr w:type="spellEnd"/>
            <w:r>
              <w:rPr>
                <w:sz w:val="24"/>
                <w:szCs w:val="24"/>
              </w:rPr>
              <w:t xml:space="preserve">” as a domain name. For our purposes, what matters is that ICANN moved to dismiss based on lack of personal jurisdiction. 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Preliminary Relief Requested (and if so, was it granted</w:t>
            </w:r>
            <w:proofErr w:type="gramStart"/>
            <w:r>
              <w:rPr>
                <w:sz w:val="24"/>
                <w:szCs w:val="24"/>
              </w:rPr>
              <w:t>)?:</w:t>
            </w:r>
            <w:proofErr w:type="gramEnd"/>
          </w:p>
        </w:tc>
        <w:tc>
          <w:tcPr>
            <w:tcW w:w="9378" w:type="dxa"/>
          </w:tcPr>
          <w:p w:rsidR="00DB16B5" w:rsidRDefault="00244370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6D332D">
              <w:rPr>
                <w:sz w:val="24"/>
                <w:szCs w:val="24"/>
              </w:rPr>
              <w:t>/A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Relief Requested by Plaintiff:</w:t>
            </w:r>
          </w:p>
        </w:tc>
        <w:tc>
          <w:tcPr>
            <w:tcW w:w="9378" w:type="dxa"/>
          </w:tcPr>
          <w:p w:rsidR="00DB16B5" w:rsidRDefault="00244370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Plaintiff asked for </w:t>
            </w:r>
            <w:r>
              <w:t xml:space="preserve">$1 </w:t>
            </w:r>
            <w:r w:rsidR="00EF2AB6">
              <w:t>b</w:t>
            </w:r>
            <w:r>
              <w:t>illion.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 of Case and Relief Granted (if any):</w:t>
            </w:r>
          </w:p>
        </w:tc>
        <w:tc>
          <w:tcPr>
            <w:tcW w:w="9378" w:type="dxa"/>
          </w:tcPr>
          <w:p w:rsidR="009865FF" w:rsidRPr="00C4424F" w:rsidRDefault="004E7375" w:rsidP="00986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</w:t>
            </w:r>
            <w:hyperlink r:id="rId7" w:history="1">
              <w:r w:rsidR="00C4424F" w:rsidRPr="002C2083">
                <w:rPr>
                  <w:rStyle w:val="Hyperlink"/>
                </w:rPr>
                <w:t>dismissed</w:t>
              </w:r>
            </w:hyperlink>
            <w:r w:rsidR="00C4424F">
              <w:t xml:space="preserve"> </w:t>
            </w:r>
            <w:r>
              <w:rPr>
                <w:sz w:val="24"/>
                <w:szCs w:val="24"/>
              </w:rPr>
              <w:t xml:space="preserve"> Oct. 11, 2011 – without prejudice to plaintiff refiling an amended complaint. </w:t>
            </w:r>
            <w:r w:rsidR="009865FF">
              <w:t>(None appears on ICANN litigation page.)</w:t>
            </w:r>
          </w:p>
          <w:p w:rsidR="009865FF" w:rsidRPr="009865FF" w:rsidRDefault="009865FF" w:rsidP="00A0145A">
            <w:r>
              <w:t xml:space="preserve">The court had </w:t>
            </w:r>
            <w:r w:rsidR="00CE5A5F">
              <w:t xml:space="preserve">previously (June 20, 2011) </w:t>
            </w:r>
            <w:r>
              <w:t>ordered plaintiff to file an amended</w:t>
            </w:r>
            <w:r w:rsidR="0079530B">
              <w:t>,</w:t>
            </w:r>
            <w:r>
              <w:t xml:space="preserve"> more specific complaint and she had not done so despite an extension of time within which to do it.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Jurisdiction Contested, and if so, what was the </w:t>
            </w:r>
            <w:proofErr w:type="gramStart"/>
            <w:r>
              <w:rPr>
                <w:sz w:val="24"/>
                <w:szCs w:val="24"/>
              </w:rPr>
              <w:t>outcome?:</w:t>
            </w:r>
            <w:proofErr w:type="gramEnd"/>
            <w:r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9378" w:type="dxa"/>
          </w:tcPr>
          <w:p w:rsidR="005B7F13" w:rsidRDefault="005B7F13" w:rsidP="005B7F13">
            <w:r>
              <w:t xml:space="preserve">ICANN </w:t>
            </w:r>
            <w:hyperlink r:id="rId8" w:history="1">
              <w:r w:rsidRPr="00BC3AE3">
                <w:rPr>
                  <w:rStyle w:val="Hyperlink"/>
                </w:rPr>
                <w:t>mo</w:t>
              </w:r>
              <w:r>
                <w:rPr>
                  <w:rStyle w:val="Hyperlink"/>
                </w:rPr>
                <w:t>ved</w:t>
              </w:r>
            </w:hyperlink>
            <w:r>
              <w:t xml:space="preserve"> to dismiss on basis of lack of “personal jurisdiction” and failure to state an actionable claim. With respect to personal jurisdiction, ICANN said that: it has no office, facilities, assets, or other presence in the state of Ohio; it does not conduct business there; and, it does not have sufficient </w:t>
            </w:r>
            <w:r>
              <w:lastRenderedPageBreak/>
              <w:t>contacts in the state to allow it to be sued there.  ICANN cited plaintiff’s failure to satisfy Ohio’s “long arm” statute for exercising personal jurisdiction over non-resident defendants. (ICANN’s jurisdictional argument is on pages 3 to 11 of its motion.)</w:t>
            </w:r>
          </w:p>
          <w:p w:rsidR="009438DD" w:rsidRDefault="009438DD" w:rsidP="009438DD">
            <w:r>
              <w:t xml:space="preserve">Plaintiff </w:t>
            </w:r>
            <w:hyperlink r:id="rId9" w:history="1">
              <w:r w:rsidRPr="00663F9E">
                <w:rPr>
                  <w:rStyle w:val="Hyperlink"/>
                </w:rPr>
                <w:t>opposed</w:t>
              </w:r>
            </w:hyperlink>
            <w:r>
              <w:t xml:space="preserve"> ICANN’s motion to dismiss. She said ICANN does conduct business in Ohio and met the requisite threshold of “substantial contacts” </w:t>
            </w:r>
            <w:r w:rsidR="006D3F22">
              <w:t xml:space="preserve">in the state </w:t>
            </w:r>
            <w:r>
              <w:t xml:space="preserve">by means of its “established superintending control of all domain names[.]” – including through its contacts with registries and registrars. (Plaintiff said in a </w:t>
            </w:r>
            <w:hyperlink r:id="rId10" w:history="1">
              <w:r w:rsidRPr="00BF08DE">
                <w:rPr>
                  <w:rStyle w:val="Hyperlink"/>
                </w:rPr>
                <w:t>supplemental</w:t>
              </w:r>
            </w:hyperlink>
            <w:r>
              <w:t xml:space="preserve"> document that ICANN has at least one registrar in Ohio.)  She illustrated ICANN’s “active controlling role” over domain names by citing the GNSO’s IPC (starting on page 3 of opposition). </w:t>
            </w:r>
          </w:p>
          <w:p w:rsidR="00DB16B5" w:rsidRPr="00B927F7" w:rsidRDefault="00C17ACB" w:rsidP="00A0145A">
            <w:r>
              <w:t xml:space="preserve">ICANN </w:t>
            </w:r>
            <w:hyperlink r:id="rId11" w:history="1">
              <w:r w:rsidRPr="002C2083">
                <w:rPr>
                  <w:rStyle w:val="Hyperlink"/>
                </w:rPr>
                <w:t>replied</w:t>
              </w:r>
            </w:hyperlink>
            <w:r>
              <w:t xml:space="preserve"> to plaintiff’s arguments and basically said that the arguments that ICANN’s website and business dealings with an Ohio registrar were </w:t>
            </w:r>
            <w:r w:rsidR="006D3F22">
              <w:t xml:space="preserve">sufficient for jurisdiction were </w:t>
            </w:r>
            <w:r>
              <w:t xml:space="preserve">too attenuated to confer personal jurisdiction in this case (see pages 2-5). And plaintiff also gave further argument in a later </w:t>
            </w:r>
            <w:hyperlink r:id="rId12" w:history="1">
              <w:r w:rsidRPr="0013238F">
                <w:rPr>
                  <w:rStyle w:val="Hyperlink"/>
                </w:rPr>
                <w:t>filing</w:t>
              </w:r>
            </w:hyperlink>
            <w:r w:rsidR="00B927F7">
              <w:t xml:space="preserve">.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Relevance of the case to the Jurisdiction Subgroup mandate:</w:t>
            </w:r>
          </w:p>
        </w:tc>
        <w:tc>
          <w:tcPr>
            <w:tcW w:w="9378" w:type="dxa"/>
          </w:tcPr>
          <w:p w:rsidR="00DB16B5" w:rsidRDefault="009052D9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 though the case was dismissed on non-jurisdictional grounds, ICANN’s arguments on personal jurisdiction are informative of how it viewed personal jurisdiction in this case – an issue argued </w:t>
            </w:r>
            <w:r w:rsidR="006C1EAD">
              <w:rPr>
                <w:sz w:val="24"/>
                <w:szCs w:val="24"/>
              </w:rPr>
              <w:t xml:space="preserve">mostly </w:t>
            </w:r>
            <w:proofErr w:type="gramStart"/>
            <w:r>
              <w:rPr>
                <w:sz w:val="24"/>
                <w:szCs w:val="24"/>
              </w:rPr>
              <w:t>on the basis of</w:t>
            </w:r>
            <w:proofErr w:type="gramEnd"/>
            <w:r>
              <w:rPr>
                <w:sz w:val="24"/>
                <w:szCs w:val="24"/>
              </w:rPr>
              <w:t xml:space="preserve"> conduct/website/</w:t>
            </w:r>
            <w:r w:rsidR="002D41D2">
              <w:rPr>
                <w:sz w:val="24"/>
                <w:szCs w:val="24"/>
              </w:rPr>
              <w:t>business-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relationships potentially related to the location rather than a presence in the location that might confer “general” jurisdiction. 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case on ICANN accountability/operations: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9378" w:type="dxa"/>
          </w:tcPr>
          <w:p w:rsidR="00DB16B5" w:rsidRDefault="0041142E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N/A, in my opinion.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 if case were decided for the other </w:t>
            </w:r>
            <w:proofErr w:type="gramStart"/>
            <w:r>
              <w:rPr>
                <w:sz w:val="24"/>
                <w:szCs w:val="24"/>
              </w:rPr>
              <w:t>party?:</w:t>
            </w:r>
            <w:proofErr w:type="gramEnd"/>
          </w:p>
        </w:tc>
        <w:tc>
          <w:tcPr>
            <w:tcW w:w="9378" w:type="dxa"/>
          </w:tcPr>
          <w:p w:rsidR="00DB16B5" w:rsidRDefault="006D3F22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could comment when we cover this case </w:t>
            </w:r>
            <w:r w:rsidR="006C1EAD">
              <w:rPr>
                <w:sz w:val="24"/>
                <w:szCs w:val="24"/>
              </w:rPr>
              <w:t xml:space="preserve">on a call </w:t>
            </w:r>
            <w:r>
              <w:rPr>
                <w:sz w:val="24"/>
                <w:szCs w:val="24"/>
              </w:rPr>
              <w:t xml:space="preserve">but </w:t>
            </w:r>
            <w:r>
              <w:rPr>
                <w:sz w:val="24"/>
                <w:szCs w:val="24"/>
              </w:rPr>
              <w:t xml:space="preserve">think this area is too speculative to be helpful. 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Did the Court comment on any jurisdiction-related </w:t>
            </w:r>
            <w:proofErr w:type="gramStart"/>
            <w:r>
              <w:rPr>
                <w:sz w:val="24"/>
                <w:szCs w:val="24"/>
              </w:rPr>
              <w:t>matters?:</w:t>
            </w:r>
            <w:proofErr w:type="gramEnd"/>
          </w:p>
        </w:tc>
        <w:tc>
          <w:tcPr>
            <w:tcW w:w="9378" w:type="dxa"/>
          </w:tcPr>
          <w:p w:rsidR="00DB16B5" w:rsidRDefault="00D12B14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</w:t>
            </w:r>
            <w:proofErr w:type="gramStart"/>
            <w:r>
              <w:rPr>
                <w:sz w:val="24"/>
                <w:szCs w:val="24"/>
              </w:rPr>
              <w:t>Court  comment</w:t>
            </w:r>
            <w:proofErr w:type="gramEnd"/>
            <w:r>
              <w:rPr>
                <w:sz w:val="24"/>
                <w:szCs w:val="24"/>
              </w:rPr>
              <w:t xml:space="preserve"> on the merit, lack of merit and/or frivolity of the plaintiff’s claims?:</w:t>
            </w:r>
          </w:p>
        </w:tc>
        <w:tc>
          <w:tcPr>
            <w:tcW w:w="9378" w:type="dxa"/>
          </w:tcPr>
          <w:p w:rsidR="00DB16B5" w:rsidRDefault="00CE5A5F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a degree, yes. In the court’s June 20, 2011, </w:t>
            </w:r>
            <w:hyperlink r:id="rId13" w:history="1">
              <w:r w:rsidRPr="00CE5A5F">
                <w:rPr>
                  <w:rStyle w:val="Hyperlink"/>
                  <w:sz w:val="24"/>
                  <w:szCs w:val="24"/>
                </w:rPr>
                <w:t>o</w:t>
              </w:r>
              <w:r>
                <w:rPr>
                  <w:rStyle w:val="Hyperlink"/>
                  <w:sz w:val="24"/>
                  <w:szCs w:val="24"/>
                </w:rPr>
                <w:t>r</w:t>
              </w:r>
              <w:r w:rsidRPr="00CE5A5F">
                <w:rPr>
                  <w:rStyle w:val="Hyperlink"/>
                  <w:sz w:val="24"/>
                  <w:szCs w:val="24"/>
                </w:rPr>
                <w:t>der</w:t>
              </w:r>
            </w:hyperlink>
            <w:r>
              <w:rPr>
                <w:sz w:val="24"/>
                <w:szCs w:val="24"/>
              </w:rPr>
              <w:t xml:space="preserve"> requiring plaintiff to file a more definite statement of her claims, the court criticized the complaint as rambling and disjointed – so much so that it did not give adequate notice to the defendants of what they had to defend against. These comments went to the merits of the claims – not to the arguments over jurisdiction.  </w:t>
            </w:r>
            <w:r w:rsidR="00D12B14">
              <w:rPr>
                <w:sz w:val="24"/>
                <w:szCs w:val="24"/>
              </w:rPr>
              <w:t xml:space="preserve"> </w:t>
            </w:r>
          </w:p>
        </w:tc>
      </w:tr>
      <w:tr w:rsidR="00DB16B5" w:rsidTr="00A0145A">
        <w:tc>
          <w:tcPr>
            <w:tcW w:w="3798" w:type="dxa"/>
          </w:tcPr>
          <w:p w:rsidR="00DB16B5" w:rsidRDefault="00DB16B5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Documents:</w:t>
            </w:r>
          </w:p>
        </w:tc>
        <w:tc>
          <w:tcPr>
            <w:tcW w:w="9378" w:type="dxa"/>
          </w:tcPr>
          <w:p w:rsidR="00DB16B5" w:rsidRDefault="00D12B14" w:rsidP="00A0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Links provided in text above. </w:t>
            </w:r>
            <w:r w:rsidR="008935D2">
              <w:rPr>
                <w:sz w:val="24"/>
                <w:szCs w:val="24"/>
              </w:rPr>
              <w:t xml:space="preserve">The key documents relate to arguments on motion to dismiss for lack of personal jurisdiction. </w:t>
            </w:r>
          </w:p>
        </w:tc>
      </w:tr>
    </w:tbl>
    <w:p w:rsidR="00DB16B5" w:rsidRDefault="00DB16B5" w:rsidP="00DB16B5">
      <w:pPr>
        <w:rPr>
          <w:sz w:val="28"/>
          <w:szCs w:val="28"/>
        </w:rPr>
      </w:pPr>
    </w:p>
    <w:p w:rsidR="00483420" w:rsidRDefault="00275914"/>
    <w:sectPr w:rsidR="00483420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914" w:rsidRDefault="00275914" w:rsidP="00DB16B5">
      <w:pPr>
        <w:spacing w:after="0" w:line="240" w:lineRule="auto"/>
      </w:pPr>
      <w:r>
        <w:separator/>
      </w:r>
    </w:p>
  </w:endnote>
  <w:endnote w:type="continuationSeparator" w:id="0">
    <w:p w:rsidR="00275914" w:rsidRDefault="00275914" w:rsidP="00DB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914" w:rsidRDefault="00275914" w:rsidP="00DB16B5">
      <w:pPr>
        <w:spacing w:after="0" w:line="240" w:lineRule="auto"/>
      </w:pPr>
      <w:r>
        <w:separator/>
      </w:r>
    </w:p>
  </w:footnote>
  <w:footnote w:type="continuationSeparator" w:id="0">
    <w:p w:rsidR="00275914" w:rsidRDefault="00275914" w:rsidP="00DB16B5">
      <w:pPr>
        <w:spacing w:after="0" w:line="240" w:lineRule="auto"/>
      </w:pPr>
      <w:r>
        <w:continuationSeparator/>
      </w:r>
    </w:p>
  </w:footnote>
  <w:footnote w:id="1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Show each party and their status (Plaintiff (P), Defendant (D), or other).  Please list any non-party participants, such </w:t>
      </w:r>
      <w:proofErr w:type="gramStart"/>
      <w:r>
        <w:t>as  Amicus</w:t>
      </w:r>
      <w:proofErr w:type="gramEnd"/>
      <w:r>
        <w:t xml:space="preserve"> Curiae (AC). </w:t>
      </w:r>
    </w:p>
  </w:footnote>
  <w:footnote w:id="2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For example, breach of contract, tortious interference with contract, violation of antitrust laws, etc. (state which laws)</w:t>
      </w:r>
    </w:p>
  </w:footnote>
  <w:footnote w:id="3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t xml:space="preserve"> For example, was there a challenge to venue, challenge to change of venue, challenge to governing law, challenge to application of “choice of law” provision.  Please describe the outcome as well as the challenge.</w:t>
      </w:r>
    </w:p>
  </w:footnote>
  <w:footnote w:id="4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Indicate whether the case had, will have or could </w:t>
      </w:r>
      <w:proofErr w:type="gramStart"/>
      <w:r>
        <w:t>have an effect on</w:t>
      </w:r>
      <w:proofErr w:type="gramEnd"/>
      <w:r>
        <w:t xml:space="preserve"> ICANN’s accountability mechanisms or the operation of ICANN’s policies.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B5"/>
    <w:rsid w:val="0007741F"/>
    <w:rsid w:val="000D6D48"/>
    <w:rsid w:val="00170295"/>
    <w:rsid w:val="001B78B9"/>
    <w:rsid w:val="001C5131"/>
    <w:rsid w:val="00244370"/>
    <w:rsid w:val="00275914"/>
    <w:rsid w:val="002B1AB5"/>
    <w:rsid w:val="002D327D"/>
    <w:rsid w:val="002D41D2"/>
    <w:rsid w:val="00360347"/>
    <w:rsid w:val="0041142E"/>
    <w:rsid w:val="0045144E"/>
    <w:rsid w:val="004B0345"/>
    <w:rsid w:val="004E7375"/>
    <w:rsid w:val="005B4566"/>
    <w:rsid w:val="005B7F13"/>
    <w:rsid w:val="00645407"/>
    <w:rsid w:val="006C1EAD"/>
    <w:rsid w:val="006D332D"/>
    <w:rsid w:val="006D3F22"/>
    <w:rsid w:val="0073113B"/>
    <w:rsid w:val="00771775"/>
    <w:rsid w:val="0079530B"/>
    <w:rsid w:val="007E5E86"/>
    <w:rsid w:val="008935D2"/>
    <w:rsid w:val="009052D9"/>
    <w:rsid w:val="009438DD"/>
    <w:rsid w:val="009458FD"/>
    <w:rsid w:val="009865FF"/>
    <w:rsid w:val="009A55D4"/>
    <w:rsid w:val="00A27B16"/>
    <w:rsid w:val="00A35803"/>
    <w:rsid w:val="00A43105"/>
    <w:rsid w:val="00A6329E"/>
    <w:rsid w:val="00B6192F"/>
    <w:rsid w:val="00B927F7"/>
    <w:rsid w:val="00C17ACB"/>
    <w:rsid w:val="00C4424F"/>
    <w:rsid w:val="00C448FA"/>
    <w:rsid w:val="00CE5A5F"/>
    <w:rsid w:val="00D12B14"/>
    <w:rsid w:val="00DB16B5"/>
    <w:rsid w:val="00EB632C"/>
    <w:rsid w:val="00EE77E7"/>
    <w:rsid w:val="00EF2AB6"/>
    <w:rsid w:val="00F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A6D9"/>
  <w15:chartTrackingRefBased/>
  <w15:docId w15:val="{BF6D0BB7-545B-40F1-BBD8-FFB51790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DB16B5"/>
    <w:pPr>
      <w:widowContro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2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icann-motion-to-dismiss-complaint-13may11-en.pdf" TargetMode="External"/><Relationship Id="rId13" Type="http://schemas.openxmlformats.org/officeDocument/2006/relationships/hyperlink" Target="https://www.icann.org/en/system/files/files/order-granting-go-daddy-motion-to-dismiss-20jun11-e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en/system/files/files/dismissing-plantiff-complaint-11oct11-en.pdf" TargetMode="External"/><Relationship Id="rId12" Type="http://schemas.openxmlformats.org/officeDocument/2006/relationships/hyperlink" Target="https://www.icann.org/en/system/files/files/plaintiff-supplemental-opposition-icann-motion-to-dismiss-09jun11-e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yeager-v-icann-2012-02-25-en" TargetMode="External"/><Relationship Id="rId11" Type="http://schemas.openxmlformats.org/officeDocument/2006/relationships/hyperlink" Target="https://www.icann.org/en/system/files/files/icann-reply-support-motion-to-dismiss-complaint-06jun11-en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cann.org/en/system/files/files/plaintiff-supplemental-opposition-icann-motion-to-dismiss-complaint-03jun11-e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cann.org/en/system/files/files/plaintiff-opposition-icann-motion-to-dismiss-complaint-25may11-e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David</dc:creator>
  <cp:keywords/>
  <dc:description/>
  <cp:lastModifiedBy>McAuley, David</cp:lastModifiedBy>
  <cp:revision>43</cp:revision>
  <dcterms:created xsi:type="dcterms:W3CDTF">2017-05-05T13:56:00Z</dcterms:created>
  <dcterms:modified xsi:type="dcterms:W3CDTF">2017-05-05T15:51:00Z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1405395825</vt:i4>
  </property>
  <property fmtid="{D5CDD505-2E9C-101B-9397-08002B2CF9AE}" pid="3" name="_NewReviewCycle">
    <vt:lpwstr/>
  </property>
  <property fmtid="{D5CDD505-2E9C-101B-9397-08002B2CF9AE}" pid="4" name="_EmailSubject">
    <vt:lpwstr>ICANN litigation review in the case entitled Yeager v. Go Daddy et al (including ICANN)</vt:lpwstr>
  </property>
  <property fmtid="{D5CDD505-2E9C-101B-9397-08002B2CF9AE}" pid="5" name="_AuthorEmail">
    <vt:lpwstr>dmcauley@Verisign.com</vt:lpwstr>
  </property>
  <property fmtid="{D5CDD505-2E9C-101B-9397-08002B2CF9AE}" pid="6" name="_AuthorEmailDisplayName">
    <vt:lpwstr>McAuley, David</vt:lpwstr>
  </property>
</Properties>
</file>