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2763B" w:rsidRDefault="00313B15">
      <w:pPr>
        <w:jc w:val="center"/>
      </w:pPr>
      <w:bookmarkStart w:id="0" w:name="_gjdgxs" w:colFirst="0" w:colLast="0"/>
      <w:bookmarkStart w:id="1" w:name="_GoBack"/>
      <w:bookmarkEnd w:id="0"/>
      <w:bookmarkEnd w:id="1"/>
      <w:r>
        <w:rPr>
          <w:b/>
          <w:sz w:val="28"/>
          <w:szCs w:val="28"/>
        </w:rPr>
        <w:t>JURISDICTION SUBGROUP ICANN LITIGATION SUMMARY v2</w:t>
      </w:r>
    </w:p>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92763B">
        <w:tc>
          <w:tcPr>
            <w:tcW w:w="3798" w:type="dxa"/>
          </w:tcPr>
          <w:p w:rsidR="0092763B" w:rsidRDefault="00313B15">
            <w:pPr>
              <w:contextualSpacing w:val="0"/>
            </w:pPr>
            <w:r>
              <w:rPr>
                <w:sz w:val="24"/>
                <w:szCs w:val="24"/>
              </w:rPr>
              <w:t>Reviewed by:</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Name of Case:</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Parties:</w:t>
            </w:r>
            <w:r>
              <w:rPr>
                <w:sz w:val="24"/>
                <w:szCs w:val="24"/>
                <w:vertAlign w:val="superscript"/>
              </w:rPr>
              <w:footnoteReference w:id="1"/>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Citizenship of Parties:</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Court/Venue:</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Choice of Law provision in contract; if so, which jurisdiction</w:t>
            </w:r>
            <w:proofErr w:type="gramStart"/>
            <w:r>
              <w:rPr>
                <w:sz w:val="24"/>
                <w:szCs w:val="24"/>
              </w:rPr>
              <w:t>?:</w:t>
            </w:r>
            <w:proofErr w:type="gramEnd"/>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Law used to determine conflict of laws issues (i.e., which law applies)</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Substantive Law Governing the Dispute:</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Date Case Began:</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Date Case Ended:</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Causes of Action:</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Issues Presented:</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Preliminary Relief</w:t>
            </w:r>
            <w:proofErr w:type="gramStart"/>
            <w:r>
              <w:rPr>
                <w:sz w:val="24"/>
                <w:szCs w:val="24"/>
              </w:rPr>
              <w:t>?:</w:t>
            </w:r>
            <w:proofErr w:type="gramEnd"/>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Relief Requested by Plaintiff</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Outcome/Relief Granted:</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Was Jurisdiction Contested?</w:t>
            </w:r>
            <w:r>
              <w:rPr>
                <w:sz w:val="24"/>
                <w:szCs w:val="24"/>
                <w:vertAlign w:val="superscript"/>
              </w:rPr>
              <w:footnoteReference w:id="2"/>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Relevance to WG mandate</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Impact on ICANN accountability/operations:</w:t>
            </w:r>
            <w:r>
              <w:rPr>
                <w:sz w:val="24"/>
                <w:szCs w:val="24"/>
                <w:vertAlign w:val="superscript"/>
              </w:rPr>
              <w:footnoteReference w:id="3"/>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Impact if case were decided for the other party?</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lastRenderedPageBreak/>
              <w:t xml:space="preserve">Did the </w:t>
            </w:r>
            <w:proofErr w:type="gramStart"/>
            <w:r>
              <w:rPr>
                <w:sz w:val="24"/>
                <w:szCs w:val="24"/>
              </w:rPr>
              <w:t>Court  comment</w:t>
            </w:r>
            <w:proofErr w:type="gramEnd"/>
            <w:r>
              <w:rPr>
                <w:sz w:val="24"/>
                <w:szCs w:val="24"/>
              </w:rPr>
              <w:t xml:space="preserve"> on the merit, lack of merit and/or frivolity of the p</w:t>
            </w:r>
            <w:r>
              <w:rPr>
                <w:sz w:val="24"/>
                <w:szCs w:val="24"/>
              </w:rPr>
              <w:t xml:space="preserve">laintiff’s claim? </w:t>
            </w:r>
          </w:p>
        </w:tc>
        <w:tc>
          <w:tcPr>
            <w:tcW w:w="9378" w:type="dxa"/>
          </w:tcPr>
          <w:p w:rsidR="0092763B" w:rsidRDefault="0092763B">
            <w:pPr>
              <w:contextualSpacing w:val="0"/>
            </w:pPr>
          </w:p>
        </w:tc>
      </w:tr>
      <w:tr w:rsidR="0092763B">
        <w:tc>
          <w:tcPr>
            <w:tcW w:w="3798" w:type="dxa"/>
          </w:tcPr>
          <w:p w:rsidR="0092763B" w:rsidRDefault="00313B15">
            <w:pPr>
              <w:contextualSpacing w:val="0"/>
            </w:pPr>
            <w:r>
              <w:rPr>
                <w:sz w:val="24"/>
                <w:szCs w:val="24"/>
              </w:rPr>
              <w:t>Key Documents:</w:t>
            </w:r>
          </w:p>
        </w:tc>
        <w:tc>
          <w:tcPr>
            <w:tcW w:w="9378" w:type="dxa"/>
          </w:tcPr>
          <w:p w:rsidR="0092763B" w:rsidRDefault="0092763B">
            <w:pPr>
              <w:contextualSpacing w:val="0"/>
            </w:pPr>
          </w:p>
        </w:tc>
      </w:tr>
    </w:tbl>
    <w:p w:rsidR="0092763B" w:rsidRDefault="0092763B"/>
    <w:sectPr w:rsidR="0092763B">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15" w:rsidRDefault="00313B15">
      <w:pPr>
        <w:spacing w:after="0" w:line="240" w:lineRule="auto"/>
      </w:pPr>
      <w:r>
        <w:separator/>
      </w:r>
    </w:p>
  </w:endnote>
  <w:endnote w:type="continuationSeparator" w:id="0">
    <w:p w:rsidR="00313B15" w:rsidRDefault="0031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15" w:rsidRDefault="00313B15">
      <w:pPr>
        <w:spacing w:after="0" w:line="240" w:lineRule="auto"/>
      </w:pPr>
      <w:r>
        <w:separator/>
      </w:r>
    </w:p>
  </w:footnote>
  <w:footnote w:type="continuationSeparator" w:id="0">
    <w:p w:rsidR="00313B15" w:rsidRDefault="00313B15">
      <w:pPr>
        <w:spacing w:after="0" w:line="240" w:lineRule="auto"/>
      </w:pPr>
      <w:r>
        <w:continuationSeparator/>
      </w:r>
    </w:p>
  </w:footnote>
  <w:footnote w:id="1">
    <w:p w:rsidR="0092763B" w:rsidRDefault="00313B15">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92763B" w:rsidRDefault="00313B15">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92763B" w:rsidRDefault="00313B15">
      <w:pPr>
        <w:spacing w:after="0" w:line="240" w:lineRule="auto"/>
      </w:pPr>
      <w:r>
        <w:rPr>
          <w:vertAlign w:val="superscript"/>
        </w:rPr>
        <w:footnoteRef/>
      </w:r>
      <w:r>
        <w:rPr>
          <w:sz w:val="20"/>
          <w:szCs w:val="20"/>
        </w:rPr>
        <w:t xml:space="preserve"> </w:t>
      </w:r>
      <w:r>
        <w:t>Indicate whether the case had or will have an effect on ICANN’s accountability mechanisms or the opera</w:t>
      </w:r>
      <w:r>
        <w:t>tion of ICANN’s policies</w:t>
      </w:r>
      <w:proofErr w:type="gramStart"/>
      <w: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2763B"/>
    <w:rsid w:val="00313B15"/>
    <w:rsid w:val="0092763B"/>
    <w:rsid w:val="00F5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FBF90-94F9-4B2C-9F0E-7B641D55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2</cp:revision>
  <cp:lastPrinted>2017-02-21T04:39:00Z</cp:lastPrinted>
  <dcterms:created xsi:type="dcterms:W3CDTF">2017-02-21T04:38:00Z</dcterms:created>
  <dcterms:modified xsi:type="dcterms:W3CDTF">2017-02-21T04:39:00Z</dcterms:modified>
</cp:coreProperties>
</file>