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43CD" w:rsidRPr="0041484B" w:rsidRDefault="000C1B9D" w:rsidP="0041484B">
      <w:pPr>
        <w:jc w:val="center"/>
      </w:pPr>
      <w:bookmarkStart w:id="0" w:name="_gjdgxs" w:colFirst="0" w:colLast="0"/>
      <w:bookmarkEnd w:id="0"/>
      <w:r>
        <w:rPr>
          <w:b/>
          <w:sz w:val="28"/>
          <w:szCs w:val="28"/>
        </w:rPr>
        <w:t>JURISDICTION S</w:t>
      </w:r>
      <w:r w:rsidR="0041484B">
        <w:rPr>
          <w:b/>
          <w:sz w:val="28"/>
          <w:szCs w:val="28"/>
        </w:rPr>
        <w:t>UBGROUP ICANN LITIGATION SUMMA</w:t>
      </w:r>
      <w:r w:rsidR="00C61C3F">
        <w:rPr>
          <w:b/>
          <w:sz w:val="28"/>
          <w:szCs w:val="28"/>
        </w:rPr>
        <w:t>RY</w:t>
      </w:r>
    </w:p>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BB43CD">
        <w:tc>
          <w:tcPr>
            <w:tcW w:w="3798" w:type="dxa"/>
          </w:tcPr>
          <w:p w:rsidR="00BB43CD" w:rsidRDefault="000C1B9D">
            <w:pPr>
              <w:contextualSpacing w:val="0"/>
            </w:pPr>
            <w:r>
              <w:rPr>
                <w:sz w:val="24"/>
                <w:szCs w:val="24"/>
              </w:rPr>
              <w:t>Name of Case:</w:t>
            </w:r>
          </w:p>
        </w:tc>
        <w:tc>
          <w:tcPr>
            <w:tcW w:w="9378" w:type="dxa"/>
          </w:tcPr>
          <w:p w:rsidR="00BB43CD" w:rsidRDefault="005510F7">
            <w:pPr>
              <w:contextualSpacing w:val="0"/>
            </w:pPr>
            <w:proofErr w:type="spellStart"/>
            <w:r>
              <w:t>Name.Space</w:t>
            </w:r>
            <w:proofErr w:type="spellEnd"/>
            <w:r>
              <w:t>, Inc.</w:t>
            </w:r>
            <w:r w:rsidR="00630CC7">
              <w:t xml:space="preserve"> v. ICANN</w:t>
            </w:r>
            <w:r w:rsidR="00E17492">
              <w:t>.</w:t>
            </w:r>
          </w:p>
        </w:tc>
      </w:tr>
      <w:tr w:rsidR="00BB43CD">
        <w:tc>
          <w:tcPr>
            <w:tcW w:w="3798" w:type="dxa"/>
          </w:tcPr>
          <w:p w:rsidR="00BB43CD" w:rsidRDefault="000C1B9D">
            <w:pPr>
              <w:contextualSpacing w:val="0"/>
            </w:pPr>
            <w:r>
              <w:rPr>
                <w:sz w:val="24"/>
                <w:szCs w:val="24"/>
              </w:rPr>
              <w:t>Parties:</w:t>
            </w:r>
            <w:r>
              <w:rPr>
                <w:sz w:val="24"/>
                <w:szCs w:val="24"/>
                <w:vertAlign w:val="superscript"/>
              </w:rPr>
              <w:footnoteReference w:id="1"/>
            </w:r>
          </w:p>
        </w:tc>
        <w:tc>
          <w:tcPr>
            <w:tcW w:w="9378" w:type="dxa"/>
          </w:tcPr>
          <w:p w:rsidR="00BB43CD" w:rsidRDefault="005510F7">
            <w:pPr>
              <w:contextualSpacing w:val="0"/>
            </w:pPr>
            <w:proofErr w:type="spellStart"/>
            <w:r>
              <w:t>Name.Space</w:t>
            </w:r>
            <w:proofErr w:type="spellEnd"/>
            <w:r>
              <w:t xml:space="preserve">, Inc. </w:t>
            </w:r>
            <w:r w:rsidR="00C64EDE">
              <w:t>(</w:t>
            </w:r>
            <w:r>
              <w:t>NSI</w:t>
            </w:r>
            <w:r w:rsidR="001A2D63">
              <w:t>) (</w:t>
            </w:r>
            <w:r w:rsidR="00C64EDE">
              <w:t>Plaintiff); ICANN (Defendant)</w:t>
            </w:r>
            <w:r w:rsidR="00E17492">
              <w:t>.</w:t>
            </w:r>
          </w:p>
        </w:tc>
      </w:tr>
      <w:tr w:rsidR="00BB43CD">
        <w:tc>
          <w:tcPr>
            <w:tcW w:w="3798" w:type="dxa"/>
          </w:tcPr>
          <w:p w:rsidR="00BB43CD" w:rsidRDefault="000C1B9D">
            <w:pPr>
              <w:contextualSpacing w:val="0"/>
            </w:pPr>
            <w:r>
              <w:rPr>
                <w:sz w:val="24"/>
                <w:szCs w:val="24"/>
              </w:rPr>
              <w:t>Citizenship of Parties:</w:t>
            </w:r>
          </w:p>
        </w:tc>
        <w:tc>
          <w:tcPr>
            <w:tcW w:w="9378" w:type="dxa"/>
          </w:tcPr>
          <w:p w:rsidR="00BB43CD" w:rsidRDefault="008C508D">
            <w:pPr>
              <w:contextualSpacing w:val="0"/>
            </w:pPr>
            <w:r>
              <w:t>NSI – a US company organized under State of Delaware law</w:t>
            </w:r>
            <w:r w:rsidR="005B4825">
              <w:t xml:space="preserve"> (principal office </w:t>
            </w:r>
            <w:r>
              <w:t>New York City</w:t>
            </w:r>
            <w:r w:rsidR="005B4825">
              <w:t>); ICANN -</w:t>
            </w:r>
            <w:r>
              <w:t>US/</w:t>
            </w:r>
            <w:r w:rsidR="00331900">
              <w:t>Cal</w:t>
            </w:r>
            <w:r>
              <w:t>ifornia non-profit</w:t>
            </w:r>
            <w:r w:rsidR="00E17492">
              <w:t>.</w:t>
            </w:r>
          </w:p>
        </w:tc>
      </w:tr>
      <w:tr w:rsidR="00BB43CD">
        <w:tc>
          <w:tcPr>
            <w:tcW w:w="3798" w:type="dxa"/>
          </w:tcPr>
          <w:p w:rsidR="00BB43CD" w:rsidRDefault="000C1B9D">
            <w:pPr>
              <w:contextualSpacing w:val="0"/>
            </w:pPr>
            <w:r>
              <w:rPr>
                <w:sz w:val="24"/>
                <w:szCs w:val="24"/>
              </w:rPr>
              <w:t>Court/Venue:</w:t>
            </w:r>
          </w:p>
        </w:tc>
        <w:tc>
          <w:tcPr>
            <w:tcW w:w="9378" w:type="dxa"/>
          </w:tcPr>
          <w:p w:rsidR="00BB43CD" w:rsidRDefault="004D696D">
            <w:pPr>
              <w:contextualSpacing w:val="0"/>
            </w:pPr>
            <w:r>
              <w:t xml:space="preserve">US federal district court in </w:t>
            </w:r>
            <w:r w:rsidR="005B4825">
              <w:t xml:space="preserve">Los Angeles </w:t>
            </w:r>
            <w:r>
              <w:t>(appeal at US Ninth Circuit Court of Appeal which includes Cal.)</w:t>
            </w:r>
          </w:p>
        </w:tc>
      </w:tr>
      <w:tr w:rsidR="00BB43CD">
        <w:tc>
          <w:tcPr>
            <w:tcW w:w="3798" w:type="dxa"/>
          </w:tcPr>
          <w:p w:rsidR="00BB43CD" w:rsidRDefault="000C1B9D">
            <w:pPr>
              <w:contextualSpacing w:val="0"/>
            </w:pPr>
            <w:r>
              <w:rPr>
                <w:sz w:val="24"/>
                <w:szCs w:val="24"/>
              </w:rPr>
              <w:t>Choice of Law/Governing Law:</w:t>
            </w:r>
          </w:p>
        </w:tc>
        <w:tc>
          <w:tcPr>
            <w:tcW w:w="9378" w:type="dxa"/>
          </w:tcPr>
          <w:p w:rsidR="00BB43CD" w:rsidRDefault="004D696D">
            <w:pPr>
              <w:contextualSpacing w:val="0"/>
            </w:pPr>
            <w:r>
              <w:t xml:space="preserve">Federal claims under US federal law; some state claims were alleged in this US federal court under federal “diversity” </w:t>
            </w:r>
            <w:r w:rsidR="00400E8B">
              <w:t xml:space="preserve">jurisdiction </w:t>
            </w:r>
            <w:r w:rsidR="00E17492">
              <w:t>and governed by Cal. law.</w:t>
            </w:r>
          </w:p>
        </w:tc>
      </w:tr>
      <w:tr w:rsidR="00BB43CD">
        <w:tc>
          <w:tcPr>
            <w:tcW w:w="3798" w:type="dxa"/>
          </w:tcPr>
          <w:p w:rsidR="00BB43CD" w:rsidRDefault="000C1B9D">
            <w:pPr>
              <w:contextualSpacing w:val="0"/>
            </w:pPr>
            <w:r>
              <w:rPr>
                <w:sz w:val="24"/>
                <w:szCs w:val="24"/>
              </w:rPr>
              <w:t>Date Case Began:</w:t>
            </w:r>
          </w:p>
        </w:tc>
        <w:tc>
          <w:tcPr>
            <w:tcW w:w="9378" w:type="dxa"/>
          </w:tcPr>
          <w:p w:rsidR="00BB43CD" w:rsidRDefault="00400E8B">
            <w:pPr>
              <w:contextualSpacing w:val="0"/>
            </w:pPr>
            <w:r>
              <w:t>Oct</w:t>
            </w:r>
            <w:r w:rsidR="00AF7324">
              <w:t xml:space="preserve">. </w:t>
            </w:r>
            <w:r>
              <w:t>1</w:t>
            </w:r>
            <w:r w:rsidR="00AF7324">
              <w:t>0, 201</w:t>
            </w:r>
            <w:r>
              <w:t>2</w:t>
            </w:r>
            <w:r w:rsidR="00AF7324">
              <w:t xml:space="preserve"> (case filed</w:t>
            </w:r>
            <w:r w:rsidR="0025406B">
              <w:t xml:space="preserve"> in US district court</w:t>
            </w:r>
            <w:r w:rsidR="00AF7324">
              <w:t>)</w:t>
            </w:r>
            <w:r w:rsidR="00E17492">
              <w:t>.</w:t>
            </w:r>
          </w:p>
        </w:tc>
      </w:tr>
      <w:tr w:rsidR="00BB43CD">
        <w:tc>
          <w:tcPr>
            <w:tcW w:w="3798" w:type="dxa"/>
          </w:tcPr>
          <w:p w:rsidR="00BB43CD" w:rsidRDefault="000C1B9D">
            <w:pPr>
              <w:contextualSpacing w:val="0"/>
            </w:pPr>
            <w:r>
              <w:rPr>
                <w:sz w:val="24"/>
                <w:szCs w:val="24"/>
              </w:rPr>
              <w:t>Date Case Ended:</w:t>
            </w:r>
          </w:p>
        </w:tc>
        <w:tc>
          <w:tcPr>
            <w:tcW w:w="9378" w:type="dxa"/>
          </w:tcPr>
          <w:p w:rsidR="00BB43CD" w:rsidRDefault="00BC62E4">
            <w:pPr>
              <w:contextualSpacing w:val="0"/>
            </w:pPr>
            <w:r>
              <w:t>July 31, 2015 (lower court dismissal upheld on appeal)</w:t>
            </w:r>
            <w:r w:rsidR="00E17492">
              <w:t>.</w:t>
            </w:r>
          </w:p>
        </w:tc>
      </w:tr>
      <w:tr w:rsidR="00BB43CD">
        <w:tc>
          <w:tcPr>
            <w:tcW w:w="3798" w:type="dxa"/>
          </w:tcPr>
          <w:p w:rsidR="00BB43CD" w:rsidRDefault="000C1B9D">
            <w:pPr>
              <w:contextualSpacing w:val="0"/>
            </w:pPr>
            <w:r>
              <w:rPr>
                <w:sz w:val="24"/>
                <w:szCs w:val="24"/>
              </w:rPr>
              <w:t>Causes of Action:</w:t>
            </w:r>
          </w:p>
        </w:tc>
        <w:tc>
          <w:tcPr>
            <w:tcW w:w="9378" w:type="dxa"/>
          </w:tcPr>
          <w:p w:rsidR="00BB43CD" w:rsidRDefault="00C178A8">
            <w:pPr>
              <w:contextualSpacing w:val="0"/>
            </w:pPr>
            <w:r>
              <w:t>Federal anti-trust</w:t>
            </w:r>
            <w:r w:rsidR="006A61E9">
              <w:t xml:space="preserve"> (conspiracy)</w:t>
            </w:r>
            <w:r>
              <w:t>, monopoly, and trademark claims; Cal. state claims: violation of Cal. business laws</w:t>
            </w:r>
            <w:r w:rsidR="00A625F5">
              <w:t xml:space="preserve"> (e.g., tortious interference with contract)</w:t>
            </w:r>
            <w:r>
              <w:t>, unfair competition, common law trademark</w:t>
            </w:r>
            <w:r w:rsidR="00E17492">
              <w:t>.</w:t>
            </w:r>
          </w:p>
        </w:tc>
      </w:tr>
      <w:tr w:rsidR="00566EC0">
        <w:tc>
          <w:tcPr>
            <w:tcW w:w="3798" w:type="dxa"/>
          </w:tcPr>
          <w:p w:rsidR="00566EC0" w:rsidRDefault="00566EC0" w:rsidP="00566EC0">
            <w:pPr>
              <w:contextualSpacing w:val="0"/>
            </w:pPr>
            <w:r>
              <w:rPr>
                <w:sz w:val="24"/>
                <w:szCs w:val="24"/>
              </w:rPr>
              <w:t>Issues Presented:</w:t>
            </w:r>
          </w:p>
        </w:tc>
        <w:tc>
          <w:tcPr>
            <w:tcW w:w="9378" w:type="dxa"/>
          </w:tcPr>
          <w:p w:rsidR="00566EC0" w:rsidRDefault="005D479A" w:rsidP="00566EC0">
            <w:pPr>
              <w:contextualSpacing w:val="0"/>
            </w:pPr>
            <w:r>
              <w:t>Did ICANN violate US competition and trademark laws, and related Cal</w:t>
            </w:r>
            <w:r w:rsidR="0000137D">
              <w:t xml:space="preserve">ifornia statutes and common law, </w:t>
            </w:r>
            <w:r>
              <w:t>by</w:t>
            </w:r>
            <w:r w:rsidR="0000137D">
              <w:t xml:space="preserve"> refusing to delegate </w:t>
            </w:r>
            <w:r w:rsidR="00BF17D1">
              <w:t>NSI</w:t>
            </w:r>
            <w:r w:rsidR="0000137D">
              <w:t xml:space="preserve"> </w:t>
            </w:r>
            <w:proofErr w:type="spellStart"/>
            <w:r w:rsidR="0000137D">
              <w:t>gTLDs</w:t>
            </w:r>
            <w:proofErr w:type="spellEnd"/>
            <w:r w:rsidR="0000137D">
              <w:t xml:space="preserve"> into the DNS root zone in the 2012 round of new </w:t>
            </w:r>
            <w:proofErr w:type="spellStart"/>
            <w:r w:rsidR="0000137D">
              <w:t>gTLDs</w:t>
            </w:r>
            <w:proofErr w:type="spellEnd"/>
            <w:r w:rsidR="0000137D">
              <w:t xml:space="preserve">? NSI applied to place 118 </w:t>
            </w:r>
            <w:proofErr w:type="spellStart"/>
            <w:r w:rsidR="0000137D">
              <w:t>gTLDs</w:t>
            </w:r>
            <w:proofErr w:type="spellEnd"/>
            <w:r w:rsidR="0000137D">
              <w:t xml:space="preserve"> in root in 2000 and believed it would have those pending requests granted in 2012 round.  Allegation that $185,000 fee per application was consciously aimed at attacking NSI’s business model. Allegation that ICANN permitted application for TLDs that NSI was already operating.  </w:t>
            </w:r>
            <w:r>
              <w:t xml:space="preserve"> </w:t>
            </w:r>
          </w:p>
        </w:tc>
      </w:tr>
      <w:tr w:rsidR="00566EC0">
        <w:tc>
          <w:tcPr>
            <w:tcW w:w="3798" w:type="dxa"/>
          </w:tcPr>
          <w:p w:rsidR="00566EC0" w:rsidRDefault="00566EC0" w:rsidP="00566EC0">
            <w:pPr>
              <w:contextualSpacing w:val="0"/>
            </w:pPr>
            <w:r>
              <w:rPr>
                <w:sz w:val="24"/>
                <w:szCs w:val="24"/>
              </w:rPr>
              <w:t xml:space="preserve">Preliminary </w:t>
            </w:r>
            <w:proofErr w:type="gramStart"/>
            <w:r>
              <w:rPr>
                <w:sz w:val="24"/>
                <w:szCs w:val="24"/>
              </w:rPr>
              <w:t>Relief?:</w:t>
            </w:r>
            <w:proofErr w:type="gramEnd"/>
          </w:p>
        </w:tc>
        <w:tc>
          <w:tcPr>
            <w:tcW w:w="9378" w:type="dxa"/>
          </w:tcPr>
          <w:p w:rsidR="00566EC0" w:rsidRDefault="00B67B2A" w:rsidP="00566EC0">
            <w:pPr>
              <w:contextualSpacing w:val="0"/>
            </w:pPr>
            <w:r>
              <w:t>NSI</w:t>
            </w:r>
            <w:r w:rsidR="00533FE3">
              <w:t xml:space="preserve"> sought a preliminary injunction  </w:t>
            </w:r>
          </w:p>
        </w:tc>
      </w:tr>
      <w:tr w:rsidR="00566EC0">
        <w:tc>
          <w:tcPr>
            <w:tcW w:w="3798" w:type="dxa"/>
          </w:tcPr>
          <w:p w:rsidR="00566EC0" w:rsidRDefault="00566EC0" w:rsidP="00566EC0">
            <w:pPr>
              <w:contextualSpacing w:val="0"/>
            </w:pPr>
            <w:r>
              <w:rPr>
                <w:sz w:val="24"/>
                <w:szCs w:val="24"/>
              </w:rPr>
              <w:t>Outcome:</w:t>
            </w:r>
          </w:p>
        </w:tc>
        <w:tc>
          <w:tcPr>
            <w:tcW w:w="9378" w:type="dxa"/>
          </w:tcPr>
          <w:p w:rsidR="00566EC0" w:rsidRDefault="006A61E9" w:rsidP="00566EC0">
            <w:pPr>
              <w:contextualSpacing w:val="0"/>
            </w:pPr>
            <w:r>
              <w:t>District court dismissed case – decided insuffic</w:t>
            </w:r>
            <w:r w:rsidR="002254CE">
              <w:t xml:space="preserve">ient factual pleadings to support </w:t>
            </w:r>
            <w:r w:rsidR="00BC1498">
              <w:t xml:space="preserve">federal anti-trust and monopoly </w:t>
            </w:r>
            <w:r w:rsidR="002254CE">
              <w:t>claim</w:t>
            </w:r>
            <w:r w:rsidR="00BC1498">
              <w:t>s</w:t>
            </w:r>
            <w:r w:rsidR="002254CE">
              <w:t xml:space="preserve"> – just conclusory statements.</w:t>
            </w:r>
            <w:r w:rsidR="00BC1498">
              <w:t xml:space="preserve"> Trademark claims were found to be premature, no controversy existed yet. State law claims also conclusory statements lacking factual detail to support a claim. </w:t>
            </w:r>
            <w:r w:rsidR="00162F90">
              <w:t xml:space="preserve"> (Appeals court summarized this in this manner – NSI failed to allege that ICANN either delegated or intended to </w:t>
            </w:r>
            <w:r w:rsidR="00985CA7">
              <w:t>delegate any TLD that NSI uses.) The Ninth Circuit appeals court affirmed the dismissal (ICANN list</w:t>
            </w:r>
            <w:r w:rsidR="006376E2">
              <w:t>s</w:t>
            </w:r>
            <w:bookmarkStart w:id="1" w:name="_GoBack"/>
            <w:bookmarkEnd w:id="1"/>
            <w:r w:rsidR="00985CA7">
              <w:t xml:space="preserve"> lower court and appeals court decisions in one link.)</w:t>
            </w:r>
          </w:p>
        </w:tc>
      </w:tr>
      <w:tr w:rsidR="00566EC0">
        <w:tc>
          <w:tcPr>
            <w:tcW w:w="3798" w:type="dxa"/>
          </w:tcPr>
          <w:p w:rsidR="00566EC0" w:rsidRDefault="00566EC0" w:rsidP="00566EC0">
            <w:pPr>
              <w:contextualSpacing w:val="0"/>
            </w:pPr>
            <w:r>
              <w:rPr>
                <w:sz w:val="24"/>
                <w:szCs w:val="24"/>
              </w:rPr>
              <w:t>Was Jurisdiction Contested?</w:t>
            </w:r>
            <w:r>
              <w:rPr>
                <w:sz w:val="24"/>
                <w:szCs w:val="24"/>
                <w:vertAlign w:val="superscript"/>
              </w:rPr>
              <w:footnoteReference w:id="2"/>
            </w:r>
          </w:p>
        </w:tc>
        <w:tc>
          <w:tcPr>
            <w:tcW w:w="9378" w:type="dxa"/>
          </w:tcPr>
          <w:p w:rsidR="00566EC0" w:rsidRDefault="00566EC0" w:rsidP="00566EC0">
            <w:pPr>
              <w:contextualSpacing w:val="0"/>
            </w:pPr>
            <w:r>
              <w:t>No</w:t>
            </w:r>
          </w:p>
        </w:tc>
      </w:tr>
      <w:tr w:rsidR="00566EC0">
        <w:tc>
          <w:tcPr>
            <w:tcW w:w="3798" w:type="dxa"/>
          </w:tcPr>
          <w:p w:rsidR="00566EC0" w:rsidRDefault="00566EC0" w:rsidP="00566EC0">
            <w:pPr>
              <w:contextualSpacing w:val="0"/>
            </w:pPr>
            <w:r>
              <w:rPr>
                <w:sz w:val="24"/>
                <w:szCs w:val="24"/>
              </w:rPr>
              <w:t>Effect on our Work:</w:t>
            </w:r>
            <w:r>
              <w:rPr>
                <w:sz w:val="24"/>
                <w:szCs w:val="24"/>
                <w:vertAlign w:val="superscript"/>
              </w:rPr>
              <w:footnoteReference w:id="3"/>
            </w:r>
          </w:p>
        </w:tc>
        <w:tc>
          <w:tcPr>
            <w:tcW w:w="9378" w:type="dxa"/>
          </w:tcPr>
          <w:p w:rsidR="00566EC0" w:rsidRDefault="00566EC0" w:rsidP="00566EC0">
            <w:pPr>
              <w:contextualSpacing w:val="0"/>
            </w:pPr>
            <w:r>
              <w:t>Unclear if any</w:t>
            </w:r>
            <w:r w:rsidR="00F36B02">
              <w:t xml:space="preserve">. </w:t>
            </w:r>
            <w:proofErr w:type="gramStart"/>
            <w:r w:rsidR="00F36B02">
              <w:t>However</w:t>
            </w:r>
            <w:proofErr w:type="gramEnd"/>
            <w:r w:rsidR="00F36B02">
              <w:t xml:space="preserve"> the district court did say this in its dismissal (among other things): “Because whatever monopoly power ICANN possesses was given to it by the United States Department of </w:t>
            </w:r>
            <w:r w:rsidR="00F36B02">
              <w:lastRenderedPageBreak/>
              <w:t xml:space="preserve">Commerce and not the result of the “willful acquisition” of monopoly power, the Court concludes that no amendment could cure the deficiencies in Plaintiff’s monopolization claim brought pursuant to Section 2 of the Sherman Act.” </w:t>
            </w:r>
            <w:r w:rsidR="00C45F25">
              <w:t xml:space="preserve"> As we know, this circumstance relating to the Dept. of Commerce has changed. </w:t>
            </w:r>
          </w:p>
        </w:tc>
      </w:tr>
      <w:tr w:rsidR="00566EC0">
        <w:tc>
          <w:tcPr>
            <w:tcW w:w="3798" w:type="dxa"/>
          </w:tcPr>
          <w:p w:rsidR="00566EC0" w:rsidRDefault="00566EC0" w:rsidP="00566EC0">
            <w:pPr>
              <w:contextualSpacing w:val="0"/>
            </w:pPr>
            <w:r>
              <w:rPr>
                <w:sz w:val="24"/>
                <w:szCs w:val="24"/>
              </w:rPr>
              <w:lastRenderedPageBreak/>
              <w:t>Key Documents:</w:t>
            </w:r>
          </w:p>
        </w:tc>
        <w:tc>
          <w:tcPr>
            <w:tcW w:w="9378" w:type="dxa"/>
          </w:tcPr>
          <w:p w:rsidR="00566EC0" w:rsidRDefault="00E17492" w:rsidP="00566EC0">
            <w:pPr>
              <w:contextualSpacing w:val="0"/>
            </w:pPr>
            <w:r>
              <w:t>N/A</w:t>
            </w:r>
          </w:p>
        </w:tc>
      </w:tr>
    </w:tbl>
    <w:p w:rsidR="00BB43CD" w:rsidRDefault="00BB43CD"/>
    <w:sectPr w:rsidR="00BB43CD">
      <w:headerReference w:type="even" r:id="rId7"/>
      <w:headerReference w:type="default" r:id="rId8"/>
      <w:footerReference w:type="even" r:id="rId9"/>
      <w:footerReference w:type="default" r:id="rId10"/>
      <w:headerReference w:type="first" r:id="rId11"/>
      <w:footerReference w:type="first" r:id="rId12"/>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C52" w:rsidRDefault="006C3C52">
      <w:pPr>
        <w:spacing w:after="0" w:line="240" w:lineRule="auto"/>
      </w:pPr>
      <w:r>
        <w:separator/>
      </w:r>
    </w:p>
  </w:endnote>
  <w:endnote w:type="continuationSeparator" w:id="0">
    <w:p w:rsidR="006C3C52" w:rsidRDefault="006C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C52" w:rsidRDefault="006C3C52">
      <w:pPr>
        <w:spacing w:after="0" w:line="240" w:lineRule="auto"/>
      </w:pPr>
      <w:r>
        <w:separator/>
      </w:r>
    </w:p>
  </w:footnote>
  <w:footnote w:type="continuationSeparator" w:id="0">
    <w:p w:rsidR="006C3C52" w:rsidRDefault="006C3C52">
      <w:pPr>
        <w:spacing w:after="0" w:line="240" w:lineRule="auto"/>
      </w:pPr>
      <w:r>
        <w:continuationSeparator/>
      </w:r>
    </w:p>
  </w:footnote>
  <w:footnote w:id="1">
    <w:p w:rsidR="00BB43CD" w:rsidRDefault="000C1B9D">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566EC0" w:rsidRDefault="00566EC0">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566EC0" w:rsidRDefault="00566EC0">
      <w:pPr>
        <w:spacing w:after="0" w:line="240" w:lineRule="auto"/>
      </w:pPr>
      <w:r>
        <w:rPr>
          <w:vertAlign w:val="superscript"/>
        </w:rPr>
        <w:footnoteRef/>
      </w:r>
      <w:r>
        <w:rPr>
          <w:sz w:val="20"/>
          <w:szCs w:val="20"/>
        </w:rPr>
        <w:t xml:space="preserve"> </w:t>
      </w:r>
      <w:r>
        <w:t xml:space="preserve">Indicate whether the case had or will </w:t>
      </w:r>
      <w:proofErr w:type="gramStart"/>
      <w:r>
        <w:t>have an effect on</w:t>
      </w:r>
      <w:proofErr w:type="gramEnd"/>
      <w:r>
        <w:t xml:space="preserve"> ICANN’s accountability mechanisms or the operation of ICANN’s 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34477"/>
    <w:multiLevelType w:val="hybridMultilevel"/>
    <w:tmpl w:val="DF64A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CD"/>
    <w:rsid w:val="0000137D"/>
    <w:rsid w:val="00041FB7"/>
    <w:rsid w:val="00060345"/>
    <w:rsid w:val="000A7C5C"/>
    <w:rsid w:val="000C1B9D"/>
    <w:rsid w:val="00162F90"/>
    <w:rsid w:val="001A2D63"/>
    <w:rsid w:val="002241AC"/>
    <w:rsid w:val="002254CE"/>
    <w:rsid w:val="0025406B"/>
    <w:rsid w:val="0025672E"/>
    <w:rsid w:val="002B5187"/>
    <w:rsid w:val="002B7311"/>
    <w:rsid w:val="00331900"/>
    <w:rsid w:val="003709FD"/>
    <w:rsid w:val="003F3E8B"/>
    <w:rsid w:val="003F4408"/>
    <w:rsid w:val="003F72BE"/>
    <w:rsid w:val="00400E8B"/>
    <w:rsid w:val="0041484B"/>
    <w:rsid w:val="00494280"/>
    <w:rsid w:val="004D696D"/>
    <w:rsid w:val="00533FE3"/>
    <w:rsid w:val="005510F7"/>
    <w:rsid w:val="00566EC0"/>
    <w:rsid w:val="005B4825"/>
    <w:rsid w:val="005B703F"/>
    <w:rsid w:val="005D479A"/>
    <w:rsid w:val="005F1A87"/>
    <w:rsid w:val="00626111"/>
    <w:rsid w:val="00630CC7"/>
    <w:rsid w:val="006376E2"/>
    <w:rsid w:val="00657EE1"/>
    <w:rsid w:val="006832A0"/>
    <w:rsid w:val="006A61E9"/>
    <w:rsid w:val="006C3C52"/>
    <w:rsid w:val="006F6708"/>
    <w:rsid w:val="00741E48"/>
    <w:rsid w:val="00832880"/>
    <w:rsid w:val="008759D0"/>
    <w:rsid w:val="008C508D"/>
    <w:rsid w:val="00985CA7"/>
    <w:rsid w:val="00A27807"/>
    <w:rsid w:val="00A625F5"/>
    <w:rsid w:val="00A655D7"/>
    <w:rsid w:val="00AD0EC3"/>
    <w:rsid w:val="00AF4628"/>
    <w:rsid w:val="00AF7324"/>
    <w:rsid w:val="00B22479"/>
    <w:rsid w:val="00B24D47"/>
    <w:rsid w:val="00B67B2A"/>
    <w:rsid w:val="00BB43CD"/>
    <w:rsid w:val="00BC1498"/>
    <w:rsid w:val="00BC62E4"/>
    <w:rsid w:val="00BF17D1"/>
    <w:rsid w:val="00C12BCC"/>
    <w:rsid w:val="00C178A8"/>
    <w:rsid w:val="00C45F25"/>
    <w:rsid w:val="00C61C3F"/>
    <w:rsid w:val="00C64EDE"/>
    <w:rsid w:val="00CA6A7F"/>
    <w:rsid w:val="00CB7A52"/>
    <w:rsid w:val="00CC4D86"/>
    <w:rsid w:val="00D23CCC"/>
    <w:rsid w:val="00D30886"/>
    <w:rsid w:val="00D62061"/>
    <w:rsid w:val="00D779C3"/>
    <w:rsid w:val="00DD41D1"/>
    <w:rsid w:val="00DF6177"/>
    <w:rsid w:val="00E124FD"/>
    <w:rsid w:val="00E17492"/>
    <w:rsid w:val="00F0470C"/>
    <w:rsid w:val="00F22E01"/>
    <w:rsid w:val="00F27AB0"/>
    <w:rsid w:val="00F30D8F"/>
    <w:rsid w:val="00F36B02"/>
    <w:rsid w:val="00F52E40"/>
    <w:rsid w:val="00FA0A38"/>
    <w:rsid w:val="00FE2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2AC1"/>
  <w15:docId w15:val="{6CAB0309-A119-498D-9CB9-1B2800A9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C1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B9D"/>
  </w:style>
  <w:style w:type="paragraph" w:styleId="Footer">
    <w:name w:val="footer"/>
    <w:basedOn w:val="Normal"/>
    <w:link w:val="FooterChar"/>
    <w:uiPriority w:val="99"/>
    <w:unhideWhenUsed/>
    <w:rsid w:val="000C1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B9D"/>
  </w:style>
  <w:style w:type="character" w:styleId="Hyperlink">
    <w:name w:val="Hyperlink"/>
    <w:basedOn w:val="DefaultParagraphFont"/>
    <w:uiPriority w:val="99"/>
    <w:unhideWhenUsed/>
    <w:rsid w:val="00A655D7"/>
    <w:rPr>
      <w:color w:val="0000FF" w:themeColor="hyperlink"/>
      <w:u w:val="single"/>
    </w:rPr>
  </w:style>
  <w:style w:type="paragraph" w:styleId="ListParagraph">
    <w:name w:val="List Paragraph"/>
    <w:basedOn w:val="Normal"/>
    <w:uiPriority w:val="34"/>
    <w:qFormat/>
    <w:rsid w:val="005F1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McCarter &amp; English, LLP</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McAuley, David</cp:lastModifiedBy>
  <cp:revision>30</cp:revision>
  <dcterms:created xsi:type="dcterms:W3CDTF">2017-04-05T13:56:00Z</dcterms:created>
  <dcterms:modified xsi:type="dcterms:W3CDTF">2017-04-05T15:51:00Z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_AdHocReviewCycleID">
    <vt:i4>-1618802635</vt:i4>
  </property>
  <property fmtid="{D5CDD505-2E9C-101B-9397-08002B2CF9AE}" pid="4" name="_NewReviewCycle">
    <vt:lpwstr/>
  </property>
  <property fmtid="{D5CDD505-2E9C-101B-9397-08002B2CF9AE}" pid="5" name="_EmailSubject">
    <vt:lpwstr>another litigation case summary</vt:lpwstr>
  </property>
  <property fmtid="{D5CDD505-2E9C-101B-9397-08002B2CF9AE}" pid="6" name="_AuthorEmail">
    <vt:lpwstr>dmcauley@Verisign.com</vt:lpwstr>
  </property>
  <property fmtid="{D5CDD505-2E9C-101B-9397-08002B2CF9AE}" pid="7" name="_AuthorEmailDisplayName">
    <vt:lpwstr>McAuley, David</vt:lpwstr>
  </property>
</Properties>
</file>