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Review and draft recommendations regarding SOAC transparency</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Steve DelBianco,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new Bylaws tasked us to: </w:t>
      </w:r>
    </w:p>
    <w:p w:rsidR="00000000" w:rsidDel="00000000" w:rsidP="00000000" w:rsidRDefault="00000000" w:rsidRPr="00000000">
      <w:pPr>
        <w:ind w:left="720" w:firstLine="0"/>
        <w:contextualSpacing w:val="0"/>
      </w:pPr>
      <w:bookmarkStart w:colFirst="0" w:colLast="0" w:name="_gjdgxs" w:id="0"/>
      <w:bookmarkEnd w:id="0"/>
      <w:r w:rsidDel="00000000" w:rsidR="00000000" w:rsidRPr="00000000">
        <w:rPr>
          <w:rFonts w:ascii="Calibri" w:cs="Calibri" w:eastAsia="Calibri" w:hAnsi="Calibri"/>
          <w:sz w:val="22"/>
          <w:szCs w:val="22"/>
          <w:rtl w:val="0"/>
        </w:rPr>
        <w:t xml:space="preserve">“review and develop … recommendations on SO/AC accountability, including but not limited to improved processes for accountability,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and participation that are helpful to prevent capture”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We asked each SO/AC (and subgroups):</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“What are the published policies and procedures by which your AC/SO is accountable to the designated community that you serve? Specifically, </w:t>
      </w:r>
      <w:r w:rsidDel="00000000" w:rsidR="00000000" w:rsidRPr="00000000">
        <w:rPr>
          <w:rFonts w:ascii="Calibri" w:cs="Calibri" w:eastAsia="Calibri" w:hAnsi="Calibri"/>
          <w:b w:val="1"/>
          <w:sz w:val="22"/>
          <w:szCs w:val="22"/>
          <w:rtl w:val="0"/>
        </w:rPr>
        <w:t xml:space="preserve">transparency mechanisms for your AC/SO deliberations, decisions and elections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Review:  </w:t>
      </w:r>
      <w:r w:rsidDel="00000000" w:rsidR="00000000" w:rsidRPr="00000000">
        <w:rPr>
          <w:rFonts w:ascii="Calibri" w:cs="Calibri" w:eastAsia="Calibri" w:hAnsi="Calibri"/>
          <w:sz w:val="22"/>
          <w:szCs w:val="22"/>
          <w:rtl w:val="0"/>
        </w:rPr>
        <w:t xml:space="preserve">A summary of responses and resources provided on Transparency, supplemented by independent research by the SO/AC Accountability working group: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ALAC Rules of Procedure are posted at </w:t>
      </w:r>
      <w:hyperlink r:id="rId5">
        <w:r w:rsidDel="00000000" w:rsidR="00000000" w:rsidRPr="00000000">
          <w:rPr>
            <w:rFonts w:ascii="Calibri" w:cs="Calibri" w:eastAsia="Calibri" w:hAnsi="Calibri"/>
            <w:color w:val="1155cc"/>
            <w:sz w:val="22"/>
            <w:szCs w:val="22"/>
            <w:u w:val="single"/>
            <w:rtl w:val="0"/>
          </w:rPr>
          <w:t xml:space="preserve">https://community.icann.org/display/atlarge/Rules+of+Procedure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ALAC’s member At-Large Structures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(ALS) are listed at </w:t>
      </w:r>
      <w:hyperlink r:id="rId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https://atlarge.icann.org/alses</w:t>
        </w:r>
      </w:hyperlink>
      <w:r w:rsidDel="00000000" w:rsidR="00000000" w:rsidRPr="00000000">
        <w:rPr>
          <w:rFonts w:ascii="Calibri" w:cs="Calibri" w:eastAsia="Calibri" w:hAnsi="Calibri"/>
          <w:sz w:val="22"/>
          <w:szCs w:val="22"/>
          <w:rtl w:val="0"/>
        </w:rPr>
        <w:t xml:space="preserve">.  Individual members may choose to keep their names private.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21-day public notice is given before voting is conducted.</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ALAC, RALO, and working group meetings are open to the public.</w:t>
      </w:r>
    </w:p>
    <w:p w:rsidR="00000000" w:rsidDel="00000000" w:rsidP="00000000" w:rsidRDefault="00000000" w:rsidRPr="00000000">
      <w:pPr>
        <w:keepNext w:val="0"/>
        <w:keepLines w:val="0"/>
        <w:widowControl w:val="0"/>
        <w:numPr>
          <w:ilvl w:val="0"/>
          <w:numId w:val="7"/>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minutes, recording, and transcripts are published.</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ALAC, RALO, and working group mailing lists are published.</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Results of elections are published.  Individuals may use secret ballots.</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ALAC response spoke specifically about risk of “capture”: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ALAC itself is effectively immune from capture, since its members are selected by</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regional numbers community are listed at </w:t>
      </w:r>
      <w:hyperlink r:id="rId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https://www.nro.net/about-the-nro/regional-internet-registries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NRO officers are listed on ASO website</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sessions at ICANN meetings are open to anyone.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provides glossary for acronyms and an FAQ page.</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publishes minutes of NRO meetings.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email archives are published for anyone to see. </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are published at </w:t>
      </w:r>
      <w:hyperlink r:id="rId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https://ccnso.icann.org/about/guidelines.htm</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Allows non-member ccTLDs to be present at ccNSO meetings. </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ccNSO Council decisions are immediately published on ccNSO website and wiki.</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documents and materials are published on the wiki at least a week before ccNSO Council meetings.</w:t>
      </w:r>
    </w:p>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Review Committee is reviewing current practices and documentation and may recommend updates and/or new guidelines.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Operating Principles are published at </w:t>
      </w:r>
      <w:hyperlink r:id="rId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https://gacweb.icann.org/display/gacweb/GAC+Operating+Principles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Materials on GAC membership, meetings, key topics, correspondence and meeting notes are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between the GAC and the ICANN Board is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GAC face-to-face meetings are open and anyone can monitor real-time or through recordings and transcripts.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Communiqué and meeting minutes are published in the six UN languages.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Operating procedures are published at </w:t>
      </w:r>
      <w:hyperlink r:id="rId1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https://gnso.icann.org/en/council/op-procedures-01sep16-en.pdf</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Anyone can monitor Council meetings via audio.  Meeting recordings, transcript, and minutes are published.</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GNSO Council email list is archived and published for public view.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Draft reports of GNSO Working Groups are published on Working Group wiki.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BC Charter is published at </w:t>
      </w:r>
      <w:hyperlink r:id="rId1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BC members are listed at </w:t>
      </w:r>
      <w:hyperlink r:id="rId1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http://www.bizconst.org/bc-membership-list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BC filed comments and ICANN correspondence are published on the BC website.</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At ICANN meetings, the BC holds some closed sessions and at least one open session.</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can monitor BC meetings via adobe and/or audio.  Meeting recordings, transcript, and minutes are published to member email list.</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all have access to a private email archive. </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Open email communications are published at </w:t>
      </w:r>
      <w:hyperlink r:id="rId1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https://forum.icann.org/lists/bc-gnso/</w:t>
        </w:r>
      </w:hyperlink>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are published at </w:t>
      </w:r>
      <w:hyperlink r:id="rId1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http://www.ipconstituency.org/bylaws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are listed at </w:t>
      </w:r>
      <w:hyperlink r:id="rId1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http://www.ipconstituency.org/current-membership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1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http://www.ipconstituency.org/officers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are published at </w:t>
      </w:r>
      <w:hyperlink r:id="rId1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http://www.ipconstituency.org/public-comments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Archived emails are available at </w:t>
      </w:r>
      <w:hyperlink r:id="rId2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http://mm.icann.org/pipermail/ipc-gnso/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Meeting minutes are published at </w:t>
      </w:r>
      <w:hyperlink r:id="rId2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http://www.ipconstituency.org/meeting-minutes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Charter is published at </w:t>
      </w:r>
      <w:hyperlink r:id="rId2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https://community.icann.org/pages/viewpage.action?pageId=27854098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Operating Procedures are published.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2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https://gnso.icann.org/en/about/stakeholders-constituencies/csg/isp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Comments filed prior to 2014 are published at </w:t>
      </w:r>
      <w:hyperlink r:id="rId2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https://community.icann.org/pages/viewpage.action?pageId=27853808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GNSO-NCSG (Non-Commercial Stakeholders Group):</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NCSG Bylaws are published at </w:t>
      </w:r>
      <w:hyperlink r:id="rId25">
        <w:r w:rsidDel="00000000" w:rsidR="00000000" w:rsidRPr="00000000">
          <w:rPr>
            <w:rFonts w:ascii="Calibri" w:cs="Calibri" w:eastAsia="Calibri" w:hAnsi="Calibri"/>
            <w:color w:val="1155cc"/>
            <w:sz w:val="22"/>
            <w:szCs w:val="22"/>
            <w:u w:val="single"/>
            <w:rtl w:val="0"/>
          </w:rPr>
          <w:t xml:space="preserve">https://community.icann.org/display/gnsononcomstake/Charter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NCSG members are listed at </w:t>
      </w:r>
      <w:hyperlink r:id="rId26">
        <w:r w:rsidDel="00000000" w:rsidR="00000000" w:rsidRPr="00000000">
          <w:rPr>
            <w:rFonts w:ascii="Calibri" w:cs="Calibri" w:eastAsia="Calibri" w:hAnsi="Calibri"/>
            <w:color w:val="1155cc"/>
            <w:sz w:val="22"/>
            <w:szCs w:val="22"/>
            <w:u w:val="single"/>
            <w:rtl w:val="0"/>
          </w:rPr>
          <w:t xml:space="preserve">https://docs.google.com/spreadsheets/d/1o0n2H5xkTPmon8K8wbFg0dAZTouHWgkWjcyNsSs_YXw/edit#gid=0</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Executive Committee listed at </w:t>
      </w:r>
      <w:hyperlink r:id="rId27">
        <w:r w:rsidDel="00000000" w:rsidR="00000000" w:rsidRPr="00000000">
          <w:rPr>
            <w:rFonts w:ascii="Calibri" w:cs="Calibri" w:eastAsia="Calibri" w:hAnsi="Calibri"/>
            <w:color w:val="1155cc"/>
            <w:sz w:val="22"/>
            <w:szCs w:val="22"/>
            <w:u w:val="single"/>
            <w:rtl w:val="0"/>
          </w:rPr>
          <w:t xml:space="preserve">https://community.icann.org/display/gnsononcomstake/Leadership+Team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minutes are published at </w:t>
      </w:r>
      <w:hyperlink r:id="rId28">
        <w:r w:rsidDel="00000000" w:rsidR="00000000" w:rsidRPr="00000000">
          <w:rPr>
            <w:rFonts w:ascii="Calibri" w:cs="Calibri" w:eastAsia="Calibri" w:hAnsi="Calibri"/>
            <w:color w:val="1155cc"/>
            <w:sz w:val="22"/>
            <w:szCs w:val="22"/>
            <w:u w:val="single"/>
            <w:rtl w:val="0"/>
          </w:rPr>
          <w:t xml:space="preserve">https://community.icann.org/display/gnsononcomstake/Meeting+Records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archives are published for both NCSG and Executive Committee</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Statements and letters are published and archived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published at </w:t>
      </w:r>
      <w:hyperlink r:id="rId2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http://www.ncuc.org/governance/bylaws/bylaws-revision-2016/differential-document/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Organizational Members are listed at </w:t>
      </w:r>
      <w:hyperlink r:id="rId3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http://www.ncuc.org/about/members/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is listed at </w:t>
      </w:r>
      <w:hyperlink r:id="rId3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hyperlink r:id="rId32">
        <w:r w:rsidDel="00000000" w:rsidR="00000000" w:rsidRPr="00000000">
          <w:rPr>
            <w:rtl w:val="0"/>
          </w:rPr>
        </w:r>
      </w:hyperlink>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meeting minute are published at </w:t>
      </w:r>
      <w:hyperlink r:id="rId3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Email archives are published at </w:t>
      </w:r>
      <w:hyperlink r:id="rId3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http://lists.ncuc.org/cgi-bin/mailman/listinfo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Statements and letters are published at </w:t>
      </w:r>
      <w:hyperlink r:id="rId35">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http://www.ncuc.org/policy/statements/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RSSAC:</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is published at </w:t>
      </w:r>
      <w:hyperlink r:id="rId3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Operational Procedures published at </w:t>
      </w:r>
      <w:hyperlink r:id="rId3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https://www.icann.org/en/system/files/files/operational-procedures-20jun16-en.pdf</w:t>
        </w:r>
      </w:hyperlink>
      <w:hyperlink r:id="rId38">
        <w:r w:rsidDel="00000000" w:rsidR="00000000" w:rsidRPr="00000000">
          <w:rPr>
            <w:rtl w:val="0"/>
          </w:rPr>
        </w:r>
      </w:hyperlink>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 bios and SOIs are listed at </w:t>
      </w:r>
      <w:hyperlink r:id="rId3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https://www.icann.org/resources/pages/ssac-biographies-2016-12-15-en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 (chair) is named at </w:t>
      </w:r>
      <w:hyperlink r:id="rId4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Reports and Advice published at </w:t>
      </w:r>
      <w:hyperlink r:id="rId4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https://www.icann.org/groups/ssac/documents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is published at </w:t>
      </w:r>
      <w:hyperlink r:id="rId4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https://www.icann.org/resources/pages/ssac-correspondence-2016-01-08-en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72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Note that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Draft Recommendations regarding SO/AC transparency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Our review leads us to recommend that each SO/AC and subgroup consider adopting the following “best practices” regarding transparency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and operating guidelines should be published on a public web page and updated whenever changes are made.</w:t>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SO/AC or subgroup should be listed on a public web page.</w:t>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of the SO/AC or subgroup should be listed on a public web page.</w:t>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Meetings and calls of SO/ACs and subgroups should normally be open to public observation.   When a meeting is determined to be members-only, that should be explained publicly, giving specific reasons for holding a closed meeting. </w:t>
      </w:r>
      <w:r w:rsidDel="00000000" w:rsidR="00000000" w:rsidRPr="00000000">
        <w:rPr>
          <w:rtl w:val="0"/>
        </w:rPr>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Minutes for all membership meetings should be published.</w:t>
      </w:r>
    </w:p>
    <w:p w:rsidR="00000000" w:rsidDel="00000000" w:rsidP="00000000" w:rsidRDefault="00000000" w:rsidRPr="00000000">
      <w:pPr>
        <w:keepNext w:val="0"/>
        <w:keepLines w:val="0"/>
        <w:widowControl w:val="0"/>
        <w:numPr>
          <w:ilvl w:val="0"/>
          <w:numId w:val="15"/>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and correspondence with ICANN should be published for anyone to </w:t>
      </w:r>
      <w:r w:rsidDel="00000000" w:rsidR="00000000" w:rsidRPr="00000000">
        <w:rPr>
          <w:rFonts w:ascii="Calibri" w:cs="Calibri" w:eastAsia="Calibri" w:hAnsi="Calibri"/>
          <w:sz w:val="22"/>
          <w:szCs w:val="22"/>
          <w:rtl w:val="0"/>
        </w:rPr>
        <w:t xml:space="preserve">view</w:t>
      </w: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b w:val="1"/>
          <w:rtl w:val="0"/>
        </w:rPr>
        <w:t xml:space="preserve">Participation</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Tatiana Tropina,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numPr>
          <w:ilvl w:val="0"/>
          <w:numId w:val="10"/>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Policies related to the certification or decertification of ALSes are documented within the ALAC RoP and (related to decertification) in the RALO rules coupled with the ALAC RoP. </w:t>
      </w:r>
    </w:p>
    <w:p w:rsidR="00000000" w:rsidDel="00000000" w:rsidP="00000000" w:rsidRDefault="00000000" w:rsidRPr="00000000">
      <w:pPr>
        <w:numPr>
          <w:ilvl w:val="0"/>
          <w:numId w:val="10"/>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Acceptance of individual RALO members is governed by the RALO rules.</w:t>
      </w:r>
    </w:p>
    <w:p w:rsidR="00000000" w:rsidDel="00000000" w:rsidP="00000000" w:rsidRDefault="00000000" w:rsidRPr="00000000">
      <w:pPr>
        <w:numPr>
          <w:ilvl w:val="0"/>
          <w:numId w:val="10"/>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4 Work Teams (WT - under a number of different names such as Working groups, Drafting Teams, Subcommittees, etc.) are general open to all except as limited in the WT charter, mission or motion that creates it. </w:t>
      </w:r>
    </w:p>
    <w:p w:rsidR="00000000" w:rsidDel="00000000" w:rsidP="00000000" w:rsidRDefault="00000000" w:rsidRPr="00000000">
      <w:pPr>
        <w:numPr>
          <w:ilvl w:val="0"/>
          <w:numId w:val="10"/>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rsidR="00000000" w:rsidDel="00000000" w:rsidP="00000000" w:rsidRDefault="00000000" w:rsidRPr="00000000">
      <w:pPr>
        <w:numPr>
          <w:ilvl w:val="0"/>
          <w:numId w:val="10"/>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Who can vote in elections is defined in the appropriate ALAC or RALO rules. Each RALO is free to set its own position on issues and the ALAC speaks for itself and all of AtLarge as appropriate.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https://www.nro.net/about-the-nro/rir-accountability#141.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17365d"/>
          <w:sz w:val="20"/>
          <w:szCs w:val="20"/>
          <w:rtl w:val="0"/>
        </w:rPr>
        <w:t xml:space="preserve">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Procedures for becoming a Member of the GAC are available on the GAC website. All Members may participate in GAC face-to-face meetings, discussion via the GAC e-mail list, inter-sessional teleconferences and GAC Working Groups, and are actively encouraged to do so.</w:t>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GAC face-to-face meeting sessions are open (recognising community feedback on this point) and anyone interested can follow them in real time as well as through recordings and transcripts. </w:t>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GAC Communiqué and minutes of the meeting are published in the six UN languages.</w:t>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schedule for GAC face-to-face meetings is subject to extensive consultation with GAC members, including teleconferences arranged for different time zones.</w:t>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Real-time interpretation in the six official UN languages is provided (by ICANN) for GAC face-to-face meetings and inter-sessional teleconferences.</w:t>
      </w:r>
    </w:p>
    <w:p w:rsidR="00000000" w:rsidDel="00000000" w:rsidP="00000000" w:rsidRDefault="00000000" w:rsidRPr="00000000">
      <w:pPr>
        <w:numPr>
          <w:ilvl w:val="0"/>
          <w:numId w:val="18"/>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Travel support is provided (by ICANN) to assist GAC members to attend face-to-face meetings according to published criteria.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16"/>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rsidR="00000000" w:rsidDel="00000000" w:rsidP="00000000" w:rsidRDefault="00000000" w:rsidRPr="00000000">
      <w:pPr>
        <w:numPr>
          <w:ilvl w:val="0"/>
          <w:numId w:val="16"/>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w:t>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Policies for determining whether individuals or organizations are eligible to participate in BC meetings, discussions, etc., are outlined in §3 of the current BC Charter (</w:t>
      </w:r>
      <w:hyperlink r:id="rId43">
        <w:r w:rsidDel="00000000" w:rsidR="00000000" w:rsidRPr="00000000">
          <w:rPr>
            <w:rFonts w:ascii="Calibri" w:cs="Calibri" w:eastAsia="Calibri" w:hAnsi="Calibri"/>
            <w:i w:val="1"/>
            <w:color w:val="0000ff"/>
            <w:sz w:val="22"/>
            <w:szCs w:val="22"/>
            <w:rtl w:val="0"/>
          </w:rPr>
          <w:t xml:space="preserve">http://www.bizconst.org/charter</w:t>
        </w:r>
      </w:hyperlink>
      <w:r w:rsidDel="00000000" w:rsidR="00000000" w:rsidRPr="00000000">
        <w:rPr>
          <w:rFonts w:ascii="Calibri" w:cs="Calibri" w:eastAsia="Calibri" w:hAnsi="Calibri"/>
          <w:sz w:val="22"/>
          <w:szCs w:val="22"/>
          <w:rtl w:val="0"/>
        </w:rPr>
        <w:t xml:space="preserve">).  In the new Charter, eligibility is outlined in §5.  </w:t>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order to be eligible to participate within the BC, organizations and their representatives (primary representative and others), the organization must first become a member. Elibility criteria is outlined in §3 within the current charter and §5 in the new charter. </w:t>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process for becoming a member of the BC begins with submitting an application to the BC Secretariat (</w:t>
      </w:r>
      <w:hyperlink r:id="rId44">
        <w:r w:rsidDel="00000000" w:rsidR="00000000" w:rsidRPr="00000000">
          <w:rPr>
            <w:rFonts w:ascii="Calibri" w:cs="Calibri" w:eastAsia="Calibri" w:hAnsi="Calibri"/>
            <w:color w:val="0000ff"/>
            <w:sz w:val="22"/>
            <w:szCs w:val="22"/>
            <w:rtl w:val="0"/>
          </w:rPr>
          <w:t xml:space="preserve">info-bc@icann.org)</w:t>
        </w:r>
      </w:hyperlink>
      <w:r w:rsidDel="00000000" w:rsidR="00000000" w:rsidRPr="00000000">
        <w:rPr>
          <w:rFonts w:ascii="Calibri" w:cs="Calibri" w:eastAsia="Calibri" w:hAnsi="Calibri"/>
          <w:sz w:val="22"/>
          <w:szCs w:val="22"/>
          <w:rtl w:val="0"/>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45">
        <w:r w:rsidDel="00000000" w:rsidR="00000000" w:rsidRPr="00000000">
          <w:rPr>
            <w:rFonts w:ascii="Calibri" w:cs="Calibri" w:eastAsia="Calibri" w:hAnsi="Calibri"/>
            <w:color w:val="0000ff"/>
            <w:sz w:val="22"/>
            <w:szCs w:val="22"/>
            <w:rtl w:val="0"/>
          </w:rPr>
          <w:t xml:space="preserve">http://www.bizconst.org/bc-membership-list</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Appeal mechanisms for membership applications and membership credentials are outlined in Section 5.6.2 of the new BC Charter, which gives empowers the Credentials Committee to conduct a review upon request.</w:t>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specific steps are outlined in the Charter, including when the termination of a membership is deemed appropriate.  If a BC member is not satisfied with EC decision, that member may pursue the complaint with ICANN’s Ombudsman.</w:t>
      </w:r>
      <w:r w:rsidDel="00000000" w:rsidR="00000000" w:rsidRPr="00000000">
        <w:rPr>
          <w:rtl w:val="0"/>
        </w:rPr>
      </w:r>
    </w:p>
    <w:p w:rsidR="00000000" w:rsidDel="00000000" w:rsidP="00000000" w:rsidRDefault="00000000" w:rsidRPr="00000000">
      <w:pPr>
        <w:numPr>
          <w:ilvl w:val="0"/>
          <w:numId w:val="17"/>
        </w:numPr>
        <w:spacing w:line="276" w:lineRule="auto"/>
        <w:ind w:left="81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BC’s teleconference meetings are held bi-weekly, and are open to all BC Members. The BC holds a meeting open to guests during each ICANN Public Meeting. The procedures outlining BC Meetings are in the new BC Charter, in §8. </w:t>
      </w:r>
      <w:r w:rsidDel="00000000" w:rsidR="00000000" w:rsidRPr="00000000">
        <w:rPr>
          <w:rtl w:val="0"/>
        </w:rPr>
      </w:r>
    </w:p>
    <w:p w:rsidR="00000000" w:rsidDel="00000000" w:rsidP="00000000" w:rsidRDefault="00000000" w:rsidRPr="00000000">
      <w:pPr>
        <w:ind w:left="180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order to be eligible to participate within the IPC, organizations, corporations, law firms and individuals must first become members of the IPC. Eligibility criteria are outlined in Section II(A)- (C) of the IPC Bylaws:</w:t>
        <w:br w:type="textWrapping"/>
        <w:t xml:space="preserve">Information on joining the IPC, including an online application, is on the IPC Website, in the “Join the IPC” section: http://www.ipconstituency.org/join-the-ipc. The membership application process is described in the IPC Bylaw, Section II(D) (Application for Membership).</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Potential applicants shall complete an IPC application form that shall be publicly available on the IPC website or through contacting any IPC officer.</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Members’ eligibility to participate in IPC activities is set out in the IPC Bylaws, Section II(F) (Participation).</w:t>
      </w:r>
    </w:p>
    <w:p w:rsidR="00000000" w:rsidDel="00000000" w:rsidP="00000000" w:rsidRDefault="00000000" w:rsidRPr="00000000">
      <w:pPr>
        <w:numPr>
          <w:ilvl w:val="0"/>
          <w:numId w:val="14"/>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br w:type="textWrapping"/>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ISPCP’s policies for determining whether individuals or organizations are eligible to</w:t>
        <w:br w:type="textWrapping"/>
        <w:t xml:space="preserve">participate in ISPCP meetings, discussions, etc., are outlined in Chapter II., Membership, of the</w:t>
        <w:br w:type="textWrapping"/>
        <w:t xml:space="preserve">Articles (https://community.icann.org/x/EgWpAQ).</w:t>
        <w:br w:type="textWrapping"/>
        <w:t xml:space="preserve">In order to be eligible to participate within the ISPCP, organizations and their representatives</w:t>
        <w:br w:type="textWrapping"/>
        <w:t xml:space="preserve">(primary representative and others), first must become a member.</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process for becoming a member of the ISPCP begins with submitting an application to the</w:t>
        <w:br w:type="textWrapping"/>
        <w:t xml:space="preserve">ISPCP Secretariat (secretariat@ispcp.info) or via the website http://www.ispcp.info/, which is</w:t>
        <w:br w:type="textWrapping"/>
        <w:t xml:space="preserve">then reviewed by the ISPCP’s Credentials Committee (CC) for consideration per the membership</w:t>
        <w:br w:type="textWrapping"/>
        <w:t xml:space="preserve">eligibility criteria. If an application is approved, the applicant (i.e., the organization/association)</w:t>
        <w:br w:type="textWrapping"/>
        <w:t xml:space="preserve">is notified within 14 business days and the new member is added to the mailing list.</w:t>
        <w:br w:type="textWrapping"/>
        <w:t xml:space="preserve">Appeals: Process not yet included</w:t>
        <w:br w:type="textWrapping"/>
        <w:t xml:space="preserve">The ISPCP’s teleconference meetings is held once a month, and is open to all ISPCP members.</w:t>
        <w:br w:type="textWrapping"/>
        <w:t xml:space="preserve">The ISPCP holds a public meeting open to guests during each ICANN Public Meeting.  Agenda, meeting notes and mp3 recordings from the public meetings held during ICANN meetings are posted on the Constituency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w:t>
      </w:r>
    </w:p>
    <w:p w:rsidR="00000000" w:rsidDel="00000000" w:rsidP="00000000" w:rsidRDefault="00000000" w:rsidRPr="00000000">
      <w:pPr>
        <w:numPr>
          <w:ilvl w:val="0"/>
          <w:numId w:val="6"/>
        </w:numPr>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46">
        <w:r w:rsidDel="00000000" w:rsidR="00000000" w:rsidRPr="00000000">
          <w:rPr>
            <w:rFonts w:ascii="Arial" w:cs="Arial" w:eastAsia="Arial" w:hAnsi="Arial"/>
            <w:sz w:val="20"/>
            <w:szCs w:val="20"/>
            <w:highlight w:val="white"/>
            <w:u w:val="single"/>
            <w:rtl w:val="0"/>
          </w:rPr>
          <w:t xml:space="preserve">http://www.ncuc.org/governance/bylaws/</w:t>
        </w:r>
      </w:hyperlink>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NCUC is also aligned with GNSO operating procedures,</w:t>
      </w:r>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Members are encouraged to join the different PDP working groups and information about policies are shared in regular basis in the main mailing list.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9"/>
        </w:numPr>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Recommendations:</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1) the rules of eligibility and criteria for membership should be clearly outlined in the bylaws</w:t>
        <w:br w:type="textWrapping"/>
        <w:t xml:space="preserve"> 2) if applicable: the process of application for membership should be clear</w:t>
        <w:br w:type="textWrapping"/>
        <w:t xml:space="preserve"> 3) if applicable: there should be a process of appeal when application for membership is rejected</w:t>
        <w:br w:type="textWrapping"/>
        <w:t xml:space="preserve"> 4) for any meetings, be they closed to members only or open to anyone, the members have to be able to access minutes and recordings</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Fonts w:ascii="Calibri" w:cs="Calibri" w:eastAsia="Calibri" w:hAnsi="Calibri"/>
          <w:b w:val="1"/>
          <w:sz w:val="22"/>
          <w:szCs w:val="22"/>
          <w:rtl w:val="0"/>
        </w:rPr>
        <w:t xml:space="preserve">Outreach:   </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Farzaneh Badii,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[expecting responses by 1-Feb]</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events while at ICANN meetings;</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with ICANN Fellows and NextGen;</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of CROPP funding to attend meetings and other events, or targeted visits (such as to a country with no current At-Large participation);</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at various regional and international events. Examples include: Regional IGFs, Global IGF, RIR meetings, regional Internet-related meeting (such as APRICOT),</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Organizing, teach at or otherwise participating in Schools of Internet Governance. </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Using social media to increase awareness.</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RALO has an Outreach Strategic Plan.</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to attract new organizational members (ALSes) is a constant focus. More recently, we are working to increase the number of individual members in the regions the allow them (NA, EU, AP) and results show we are successful.</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also are about to launch a new program to increase penetration within our ALSes. </w:t>
      </w:r>
    </w:p>
    <w:p w:rsidR="00000000" w:rsidDel="00000000" w:rsidP="00000000" w:rsidRDefault="00000000" w:rsidRPr="00000000">
      <w:pPr>
        <w:numPr>
          <w:ilvl w:val="0"/>
          <w:numId w:val="7"/>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Often, in many cases, it is just one or a few people in the organization who are active within At-Large,and we are determined to increase our breadth of coverage within the ALSes.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NRO Number Council (NRO NC) performs the function of the ASO AC. For information on how the NRO NC is constituted, see https://www.nro.net/about-the-</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nro/the-nro-number-council</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for information on how members of the NRO NC are elected/appointed from their respective RIR regions, see:</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AFRINIC: https://www.afrinic.net/en/community/ig/nro</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APNIC: https://www.apnic.net/community/participate/elections/nro-elections</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ARIN: https://www.arin.net/participate/elections/nronumbercouncil.html</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LACNIC: http://www.lacnic.net/en/web/lacnic/aso-nro</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RIPE NCC: </w:t>
      </w:r>
      <w:hyperlink r:id="rId47">
        <w:r w:rsidDel="00000000" w:rsidR="00000000" w:rsidRPr="00000000">
          <w:rPr>
            <w:rFonts w:ascii="Calibri" w:cs="Calibri" w:eastAsia="Calibri" w:hAnsi="Calibri"/>
            <w:color w:val="1155cc"/>
            <w:sz w:val="22"/>
            <w:szCs w:val="22"/>
            <w:u w:val="single"/>
            <w:rtl w:val="0"/>
          </w:rPr>
          <w:t xml:space="preserve">https://www.ripe.net/participate/internet-governance/internet-</w:t>
        </w:r>
      </w:hyperlink>
      <w:r w:rsidDel="00000000" w:rsidR="00000000" w:rsidRPr="00000000">
        <w:rPr>
          <w:rFonts w:ascii="Calibri" w:cs="Calibri" w:eastAsia="Calibri" w:hAnsi="Calibri"/>
          <w:sz w:val="22"/>
          <w:szCs w:val="22"/>
          <w:rtl w:val="0"/>
        </w:rPr>
        <w:t xml:space="preserve"> technical-community/nro [RACI program for the academics]</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for information on the individual RIRs, see the RIR Governance Matrix at https://www.nro.net/about-the-nro/rir-governance-matrix, specifically Section 1, </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RIR Bylaws and Operational Documents, and Section 2, Regional Policy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 (extracted from CCNSO wiki page)</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CCNSO has regional outreach https://community.icann.org/display/ccNSOCWS/Outreach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numPr>
          <w:ilvl w:val="0"/>
          <w:numId w:val="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GAC face-to- face meetings regularly include capacity-building and outreach sessions to encourage the widest range of participation by members.</w:t>
      </w:r>
    </w:p>
    <w:p w:rsidR="00000000" w:rsidDel="00000000" w:rsidP="00000000" w:rsidRDefault="00000000" w:rsidRPr="00000000">
      <w:pPr>
        <w:numPr>
          <w:ilvl w:val="0"/>
          <w:numId w:val="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GAC has membership of 170 national and territory government. GAC does outreach to the remaining governments through the biennial ICANN High Level Governmental Meeting, where Ministers from GAC and Non-GAC member governments are invited. Also, individual governments and IGOs also do outreach to the non-members - e.g. UK has been in contact with Bangladesh administration.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ICANN newsletters,  and outreach to other SO/ACs.</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Specific newcomer webinars and training tools are available for those that want to learn more about what it takes to participate in GNSO working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rsidR="00000000" w:rsidDel="00000000" w:rsidP="00000000" w:rsidRDefault="00000000" w:rsidRPr="00000000">
      <w:pPr>
        <w:ind w:firstLine="720"/>
        <w:contextualSpacing w:val="0"/>
      </w:pPr>
      <w:r w:rsidDel="00000000" w:rsidR="00000000" w:rsidRPr="00000000">
        <w:rPr>
          <w:rFonts w:ascii="Calibri" w:cs="Calibri" w:eastAsia="Calibri" w:hAnsi="Calibri"/>
          <w:sz w:val="22"/>
          <w:szCs w:val="22"/>
          <w:rtl w:val="0"/>
        </w:rPr>
        <w:t xml:space="preserve">2016 CHARTER (undergoing review by ICANN Staff), §9.2:</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Complete text of new BC Charter can be read here.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Committee</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Newsletters are published by the BC in advance of every ICANN Public Meeting (http://www.bizconst.org/newsletter). Articles are written by BC members and designed by the BC for outreach purposes at each ICANN Public Meeting, and various outreach events that the BC participates in (such as AfICTA Summits, trade events, and IGF forums).</w:t>
      </w:r>
    </w:p>
    <w:p w:rsidR="00000000" w:rsidDel="00000000" w:rsidP="00000000" w:rsidRDefault="00000000" w:rsidRPr="00000000">
      <w:pPr>
        <w:numPr>
          <w:ilvl w:val="0"/>
          <w:numId w:val="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BC’s CROPP travel forms for past and upcoming travel and outreach events in FY17 will be tracked here: https://community.icann.org/x/zw2OAw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48">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has an Outreach Engagement Committee, which is responsible for planning, oversight and some execution of the IPC’s outreach and engagement strategy.</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The IPC Outreach and Engagement Committee is tasked with developing the Outreach Strategy for the upcoming year. The IPC Outreach and Engagement Strategic Plan for FY17 can be found at https://community.icann.org/x/GgybAw. After the Outreach and Engagement</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develops a draft Plan, it is reviewed and approved first by IPC Leadership (Officers and Councilors) and then by IPC Membership.</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participates in ICANN programs such as the Fellows program, the Leadership Training Program, CROPP, and various Business Engagement activities. </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planning team in advance of each ICANN meeting to coordinate the logistics and events of the IPC, including any outreach and engagement planned for the meeting.</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has a website and a print brochure for outreach purposes.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Bylaws: http://www.ipconstituency.org/Bylaws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Outreach and Strategic Plan for FY17: https://community.icann.org/x/GgybAw7</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IPC’s CROPP travel forms for past and upcoming travel and outreach events in FY17 will be tracked in the CROPP space, https://community.icann.org/x/2A2OAw.</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ICANN Leadership Program: https://community.icann.org/x/4hK4Aw</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brochure can be found here: https://ipc.memberclicks.net/assets/FactSheets/ipc_onepager_2016.pdf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(pending) and actively participates in the Community</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Regional Outreach Pilot Program (CROPP)</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Bulletins: Bulletins (sometimes referred to as Newsletters) are published by the ISPCP in advance of the annual ICANN Public Meeting and archived on the ISPCP website.</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ISPCP Articles (2009 - current): https://community.icann.org/x/EgWpAQ</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ISPP’s CROPP travel forms for past and upcoming travel and outreach events in FY17 will be tracked here: https://community.icann.org/x/2w2OAw</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ISPCP Bulletins archive: http://www.ispcp.info/ispcp-bulletin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Outreach events before and during each ICANN meeting</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Brochures in different languages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membership</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Exhibitions and booths in various events outside ICANN meetings, such as IGF</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website</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Close collaboration with ICANN global and regional engagement teams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noncommercial and civil society events outside of ICANN and informing them about our work</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of CROPP to hold events and send delegates to meetings to encourage the NCUC designated community to join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widowControl w:val="1"/>
        <w:numPr>
          <w:ilvl w:val="0"/>
          <w:numId w:val="9"/>
        </w:numPr>
        <w:spacing w:line="276"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Recommendations: </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numPr>
          <w:ilvl w:val="0"/>
          <w:numId w:val="11"/>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publish newsletters or other communications that can help eligible non-members to understand the benefits and process of becoming a member. </w:t>
      </w:r>
    </w:p>
    <w:p w:rsidR="00000000" w:rsidDel="00000000" w:rsidP="00000000" w:rsidRDefault="00000000" w:rsidRPr="00000000">
      <w:pPr>
        <w:numPr>
          <w:ilvl w:val="0"/>
          <w:numId w:val="11"/>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maintain a publicly- accessible website/wiki pages to advertise their outreach events and opportunities </w:t>
      </w:r>
    </w:p>
    <w:p w:rsidR="00000000" w:rsidDel="00000000" w:rsidP="00000000" w:rsidRDefault="00000000" w:rsidRPr="00000000">
      <w:pPr>
        <w:numPr>
          <w:ilvl w:val="0"/>
          <w:numId w:val="11"/>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consider creating a committee to manage outreach programs to attract additional  eligible members, particularly from parts of their targeted community that may not be adequately participating.</w:t>
      </w:r>
    </w:p>
    <w:p w:rsidR="00000000" w:rsidDel="00000000" w:rsidP="00000000" w:rsidRDefault="00000000" w:rsidRPr="00000000">
      <w:pPr>
        <w:numPr>
          <w:ilvl w:val="0"/>
          <w:numId w:val="11"/>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objectives and potential activities should be mentioned in AC/SO bylaws, charter, or procedures</w:t>
      </w:r>
    </w:p>
    <w:p w:rsidR="00000000" w:rsidDel="00000000" w:rsidP="00000000" w:rsidRDefault="00000000" w:rsidRPr="00000000">
      <w:pPr>
        <w:numPr>
          <w:ilvl w:val="0"/>
          <w:numId w:val="11"/>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have a strategy for outreach to parts of their targeted community that may not be adequately participating at the time.</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w:t>
      </w:r>
    </w:p>
    <w:sectPr>
      <w:footerReference r:id="rId49" w:type="default"/>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right"/>
    </w:pPr>
    <w:fldSimple w:instr="PAGE" w:fldLock="0" w:dirty="0">
      <w:r w:rsidDel="00000000" w:rsidR="00000000" w:rsidRPr="00000000">
        <w:rPr>
          <w:rFonts w:ascii="Calibri" w:cs="Calibri" w:eastAsia="Calibri" w:hAnsi="Calibri"/>
          <w:b w:val="0"/>
          <w:i w:val="0"/>
          <w:smallCaps w:val="0"/>
          <w:strike w:val="0"/>
          <w:color w:val="000000"/>
          <w:sz w:val="20"/>
          <w:szCs w:val="20"/>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320"/>
        <w:tab w:val="right" w:pos="8640"/>
      </w:tabs>
      <w:spacing w:after="720" w:before="0" w:line="240" w:lineRule="auto"/>
      <w:ind w:left="0" w:right="360" w:firstLine="0"/>
      <w:contextualSpacing w:val="0"/>
      <w:jc w:val="lef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decimal"/>
      <w:lvlText w:val="%1."/>
      <w:lvlJc w:val="left"/>
      <w:pPr>
        <w:ind w:left="720" w:firstLine="360"/>
      </w:pPr>
      <w:rPr>
        <w:rFonts w:ascii="Arial" w:cs="Arial" w:eastAsia="Arial" w:hAnsi="Arial"/>
      </w:rPr>
    </w:lvl>
    <w:lvl w:ilvl="1">
      <w:start w:val="1"/>
      <w:numFmt w:val="lowerLetter"/>
      <w:lvlText w:val="%2."/>
      <w:lvlJc w:val="left"/>
      <w:pPr>
        <w:ind w:left="1440" w:firstLine="1080"/>
      </w:pPr>
      <w:rPr>
        <w:rFonts w:ascii="Arial" w:cs="Arial" w:eastAsia="Arial" w:hAnsi="Arial"/>
      </w:rPr>
    </w:lvl>
    <w:lvl w:ilvl="2">
      <w:start w:val="1"/>
      <w:numFmt w:val="lowerRoman"/>
      <w:lvlText w:val="%3."/>
      <w:lvlJc w:val="right"/>
      <w:pPr>
        <w:ind w:left="2160" w:firstLine="1800"/>
      </w:pPr>
      <w:rPr>
        <w:rFonts w:ascii="Arial" w:cs="Arial" w:eastAsia="Arial" w:hAnsi="Arial"/>
      </w:rPr>
    </w:lvl>
    <w:lvl w:ilvl="3">
      <w:start w:val="1"/>
      <w:numFmt w:val="decimal"/>
      <w:lvlText w:val="%4."/>
      <w:lvlJc w:val="left"/>
      <w:pPr>
        <w:ind w:left="2880" w:firstLine="2520"/>
      </w:pPr>
      <w:rPr>
        <w:rFonts w:ascii="Arial" w:cs="Arial" w:eastAsia="Arial" w:hAnsi="Arial"/>
      </w:rPr>
    </w:lvl>
    <w:lvl w:ilvl="4">
      <w:start w:val="1"/>
      <w:numFmt w:val="lowerLetter"/>
      <w:lvlText w:val="%5."/>
      <w:lvlJc w:val="left"/>
      <w:pPr>
        <w:ind w:left="3600" w:firstLine="3240"/>
      </w:pPr>
      <w:rPr>
        <w:rFonts w:ascii="Arial" w:cs="Arial" w:eastAsia="Arial" w:hAnsi="Arial"/>
      </w:rPr>
    </w:lvl>
    <w:lvl w:ilvl="5">
      <w:start w:val="1"/>
      <w:numFmt w:val="lowerRoman"/>
      <w:lvlText w:val="%6."/>
      <w:lvlJc w:val="right"/>
      <w:pPr>
        <w:ind w:left="4320" w:firstLine="3960"/>
      </w:pPr>
      <w:rPr>
        <w:rFonts w:ascii="Arial" w:cs="Arial" w:eastAsia="Arial" w:hAnsi="Arial"/>
      </w:rPr>
    </w:lvl>
    <w:lvl w:ilvl="6">
      <w:start w:val="1"/>
      <w:numFmt w:val="decimal"/>
      <w:lvlText w:val="%7."/>
      <w:lvlJc w:val="left"/>
      <w:pPr>
        <w:ind w:left="5040" w:firstLine="4680"/>
      </w:pPr>
      <w:rPr>
        <w:rFonts w:ascii="Arial" w:cs="Arial" w:eastAsia="Arial" w:hAnsi="Arial"/>
      </w:rPr>
    </w:lvl>
    <w:lvl w:ilvl="7">
      <w:start w:val="1"/>
      <w:numFmt w:val="lowerLetter"/>
      <w:lvlText w:val="%8."/>
      <w:lvlJc w:val="left"/>
      <w:pPr>
        <w:ind w:left="5760" w:firstLine="5400"/>
      </w:pPr>
      <w:rPr>
        <w:rFonts w:ascii="Arial" w:cs="Arial" w:eastAsia="Arial" w:hAnsi="Arial"/>
      </w:rPr>
    </w:lvl>
    <w:lvl w:ilvl="8">
      <w:start w:val="1"/>
      <w:numFmt w:val="lowerRoman"/>
      <w:lvlText w:val="%9."/>
      <w:lvlJc w:val="right"/>
      <w:pPr>
        <w:ind w:left="6480" w:firstLine="6120"/>
      </w:pPr>
      <w:rPr>
        <w:rFonts w:ascii="Arial" w:cs="Arial" w:eastAsia="Arial" w:hAnsi="Arial"/>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cann.org/groups/ssac" TargetMode="External"/><Relationship Id="rId42" Type="http://schemas.openxmlformats.org/officeDocument/2006/relationships/hyperlink" Target="https://www.icann.org/resources/pages/ssac-correspondence-2016-01-08-en" TargetMode="External"/><Relationship Id="rId41" Type="http://schemas.openxmlformats.org/officeDocument/2006/relationships/hyperlink" Target="https://www.icann.org/groups/ssac/documents" TargetMode="External"/><Relationship Id="rId44" Type="http://schemas.openxmlformats.org/officeDocument/2006/relationships/hyperlink" Target="mailto:info-bc@icann.org)" TargetMode="External"/><Relationship Id="rId43" Type="http://schemas.openxmlformats.org/officeDocument/2006/relationships/hyperlink" Target="http://www.bizconst.org/charter" TargetMode="External"/><Relationship Id="rId46" Type="http://schemas.openxmlformats.org/officeDocument/2006/relationships/hyperlink" Target="http://www.ncuc.org/governance/bylaws/" TargetMode="External"/><Relationship Id="rId45" Type="http://schemas.openxmlformats.org/officeDocument/2006/relationships/hyperlink" Target="http://www.bizconst.org/bc-membership-lis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gacweb.icann.org/display/gacweb/GAC+Operating+Principles" TargetMode="External"/><Relationship Id="rId48" Type="http://schemas.openxmlformats.org/officeDocument/2006/relationships/hyperlink" Target="https://forum.icann.org/lists/bc-gnso/" TargetMode="External"/><Relationship Id="rId47" Type="http://schemas.openxmlformats.org/officeDocument/2006/relationships/hyperlink" Target="https://www.ripe.net/participate/internet-governance/internet-" TargetMode="External"/><Relationship Id="rId49" Type="http://schemas.openxmlformats.org/officeDocument/2006/relationships/footer" Target="footer1.xml"/><Relationship Id="rId5" Type="http://schemas.openxmlformats.org/officeDocument/2006/relationships/hyperlink" Target="https://community.icann.org/display/atlarge/Rules+of+Procedure" TargetMode="External"/><Relationship Id="rId6" Type="http://schemas.openxmlformats.org/officeDocument/2006/relationships/hyperlink" Target="https://atlarge.icann.org/alses" TargetMode="External"/><Relationship Id="rId7" Type="http://schemas.openxmlformats.org/officeDocument/2006/relationships/hyperlink" Target="https://www.nro.net/about-the-nro/regional-internet-registries" TargetMode="External"/><Relationship Id="rId8" Type="http://schemas.openxmlformats.org/officeDocument/2006/relationships/hyperlink" Target="https://ccnso.icann.org/about/guidelines.htm" TargetMode="External"/><Relationship Id="rId31" Type="http://schemas.openxmlformats.org/officeDocument/2006/relationships/hyperlink" Target="http://www.ncuc.org/governance/executive-committee/" TargetMode="External"/><Relationship Id="rId30" Type="http://schemas.openxmlformats.org/officeDocument/2006/relationships/hyperlink" Target="http://www.ncuc.org/about/members/" TargetMode="External"/><Relationship Id="rId33" Type="http://schemas.openxmlformats.org/officeDocument/2006/relationships/hyperlink" Target="http://www.ncuc.org/governance/executive-committee/" TargetMode="External"/><Relationship Id="rId32" Type="http://schemas.openxmlformats.org/officeDocument/2006/relationships/hyperlink" Target="http://www.ncuc.org/governance/executive-committee/" TargetMode="External"/><Relationship Id="rId35" Type="http://schemas.openxmlformats.org/officeDocument/2006/relationships/hyperlink" Target="http://www.ncuc.org/policy/statements/" TargetMode="External"/><Relationship Id="rId34" Type="http://schemas.openxmlformats.org/officeDocument/2006/relationships/hyperlink" Target="http://lists.ncuc.org/cgi-bin/mailman/listinfo" TargetMode="External"/><Relationship Id="rId37" Type="http://schemas.openxmlformats.org/officeDocument/2006/relationships/hyperlink" Target="https://www.icann.org/en/system/files/files/operational-procedures-20jun16-en.pdf" TargetMode="External"/><Relationship Id="rId36" Type="http://schemas.openxmlformats.org/officeDocument/2006/relationships/hyperlink" Target="https://www.icann.org/groups/ssac/charter" TargetMode="External"/><Relationship Id="rId39" Type="http://schemas.openxmlformats.org/officeDocument/2006/relationships/hyperlink" Target="https://www.icann.org/resources/pages/ssac-biographies-2016-12-15-en" TargetMode="External"/><Relationship Id="rId38" Type="http://schemas.openxmlformats.org/officeDocument/2006/relationships/hyperlink" Target="https://www.icann.org/en/system/files/files/operational-procedures-20jun16-en.pdf" TargetMode="External"/><Relationship Id="rId20" Type="http://schemas.openxmlformats.org/officeDocument/2006/relationships/hyperlink" Target="http://mm.icann.org/pipermail/ipc-gnso/" TargetMode="External"/><Relationship Id="rId22" Type="http://schemas.openxmlformats.org/officeDocument/2006/relationships/hyperlink" Target="https://community.icann.org/pages/viewpage.action?pageId=27854098" TargetMode="External"/><Relationship Id="rId21" Type="http://schemas.openxmlformats.org/officeDocument/2006/relationships/hyperlink" Target="http://www.ipconstituency.org/meeting-minutes" TargetMode="External"/><Relationship Id="rId24" Type="http://schemas.openxmlformats.org/officeDocument/2006/relationships/hyperlink" Target="https://community.icann.org/pages/viewpage.action?pageId=27853808" TargetMode="External"/><Relationship Id="rId23" Type="http://schemas.openxmlformats.org/officeDocument/2006/relationships/hyperlink" Target="https://gnso.icann.org/en/about/stakeholders-constituencies/csg/isp" TargetMode="External"/><Relationship Id="rId26" Type="http://schemas.openxmlformats.org/officeDocument/2006/relationships/hyperlink" Target="https://docs.google.com/spreadsheets/d/1o0n2H5xkTPmon8K8wbFg0dAZTouHWgkWjcyNsSs_YXw/edit#gid=0" TargetMode="External"/><Relationship Id="rId25" Type="http://schemas.openxmlformats.org/officeDocument/2006/relationships/hyperlink" Target="https://community.icann.org/display/gnsononcomstake/Charter" TargetMode="External"/><Relationship Id="rId28" Type="http://schemas.openxmlformats.org/officeDocument/2006/relationships/hyperlink" Target="https://community.icann.org/display/gnsononcomstake/Meeting+Records" TargetMode="External"/><Relationship Id="rId27" Type="http://schemas.openxmlformats.org/officeDocument/2006/relationships/hyperlink" Target="https://community.icann.org/display/gnsononcomstake/Leadership+Team" TargetMode="External"/><Relationship Id="rId29" Type="http://schemas.openxmlformats.org/officeDocument/2006/relationships/hyperlink" Target="http://www.ncuc.org/governance/bylaws/bylaws-revision-2016/differential-document/" TargetMode="External"/><Relationship Id="rId11" Type="http://schemas.openxmlformats.org/officeDocument/2006/relationships/hyperlink" Target="http://www.bizconst.org/charter" TargetMode="External"/><Relationship Id="rId10" Type="http://schemas.openxmlformats.org/officeDocument/2006/relationships/hyperlink" Target="https://gnso.icann.org/en/council/op-procedures-01sep16-en.pdf" TargetMode="External"/><Relationship Id="rId13" Type="http://schemas.openxmlformats.org/officeDocument/2006/relationships/hyperlink" Target="https://forum.icann.org/lists/bc-gnso/" TargetMode="External"/><Relationship Id="rId12" Type="http://schemas.openxmlformats.org/officeDocument/2006/relationships/hyperlink" Target="http://www.bizconst.org/bc-membership-list" TargetMode="External"/><Relationship Id="rId15" Type="http://schemas.openxmlformats.org/officeDocument/2006/relationships/hyperlink" Target="https://forum.icann.org/lists/bc-gnso/" TargetMode="External"/><Relationship Id="rId14" Type="http://schemas.openxmlformats.org/officeDocument/2006/relationships/hyperlink" Target="https://forum.icann.org/lists/bc-gnso/" TargetMode="External"/><Relationship Id="rId17" Type="http://schemas.openxmlformats.org/officeDocument/2006/relationships/hyperlink" Target="http://www.ipconstituency.org/current-membership" TargetMode="External"/><Relationship Id="rId16" Type="http://schemas.openxmlformats.org/officeDocument/2006/relationships/hyperlink" Target="http://www.ipconstituency.org/bylaws" TargetMode="External"/><Relationship Id="rId19" Type="http://schemas.openxmlformats.org/officeDocument/2006/relationships/hyperlink" Target="http://www.ipconstituency.org/public-comments" TargetMode="External"/><Relationship Id="rId18" Type="http://schemas.openxmlformats.org/officeDocument/2006/relationships/hyperlink" Target="http://www.ipconstituency.org/officers" TargetMode="External"/></Relationships>
</file>