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395B" w14:textId="3A8396CD" w:rsidR="00C5529B" w:rsidRDefault="00C5529B" w:rsidP="00BE10C2">
      <w:pPr>
        <w:spacing w:line="360" w:lineRule="auto"/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The WS2 SO/AC Accountability Progress Report</w:t>
      </w:r>
    </w:p>
    <w:p w14:paraId="522A441B" w14:textId="77777777" w:rsidR="00C5529B" w:rsidRPr="00C5529B" w:rsidRDefault="00C5529B" w:rsidP="00C5529B">
      <w:pPr>
        <w:pStyle w:val="ListParagraph"/>
        <w:tabs>
          <w:tab w:val="left" w:pos="284"/>
        </w:tabs>
        <w:spacing w:line="360" w:lineRule="auto"/>
        <w:ind w:left="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6F56BB12" w14:textId="2E9FFE93" w:rsidR="00BE10C2" w:rsidRPr="00BE10C2" w:rsidRDefault="004353FE" w:rsidP="00BE10C2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Executive Summary</w:t>
      </w:r>
    </w:p>
    <w:p w14:paraId="78337754" w14:textId="7A19B4BC" w:rsidR="00A84446" w:rsidRPr="00BE10C2" w:rsidRDefault="004353FE" w:rsidP="00BE10C2">
      <w:pPr>
        <w:pStyle w:val="ListParagraph"/>
        <w:spacing w:line="360" w:lineRule="auto"/>
        <w:ind w:left="709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CCWG WS2 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on Accountability of SO/AC</w:t>
      </w:r>
      <w:r w:rsidR="007D578D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has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already</w:t>
      </w:r>
      <w:r w:rsidR="0031612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held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10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meetings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an aver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ag</w:t>
      </w:r>
      <w:r w:rsidR="00B5554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 of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15 to 20 participants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35631CB" w14:textId="34342B4D" w:rsidR="00316122" w:rsidRPr="00BE10C2" w:rsidRDefault="00A84446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</w:t>
      </w:r>
      <w:r w:rsidR="0031612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discussed the scope of activities as well as the tasks assigned to it by CCWG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WS1 report.</w:t>
      </w:r>
    </w:p>
    <w:p w14:paraId="5C562227" w14:textId="77777777" w:rsidR="00361793" w:rsidRDefault="00361793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 following course of actions has been taken so far:</w:t>
      </w:r>
    </w:p>
    <w:p w14:paraId="4491A6E9" w14:textId="6F691C1D" w:rsidR="00316122" w:rsidRPr="00361793" w:rsidRDefault="00316122" w:rsidP="00361793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Four area of activities (tracks) were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identified as:</w:t>
      </w:r>
    </w:p>
    <w:p w14:paraId="119302A6" w14:textId="5FABC3E5" w:rsidR="00361793" w:rsidRDefault="00316122" w:rsidP="00361793">
      <w:pPr>
        <w:pStyle w:val="ListParagraph"/>
        <w:numPr>
          <w:ilvl w:val="1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4353FE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: </w:t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SOs/ACs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effectiveness;</w:t>
      </w:r>
    </w:p>
    <w:p w14:paraId="7D53DC88" w14:textId="77777777" w:rsidR="00361793" w:rsidRDefault="00316122" w:rsidP="00361793">
      <w:pPr>
        <w:pStyle w:val="ListParagraph"/>
        <w:numPr>
          <w:ilvl w:val="1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5772D2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2: </w:t>
      </w:r>
      <w:r w:rsidR="00BE10C2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Evaluating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proposed “Mutual Accountability Roundtable” to assess its viability and, if viable, undertake the ne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cessary actions to implement it;</w:t>
      </w:r>
    </w:p>
    <w:p w14:paraId="388889DE" w14:textId="77777777" w:rsidR="00361793" w:rsidRDefault="00F8667E" w:rsidP="00361793">
      <w:pPr>
        <w:pStyle w:val="ListParagraph"/>
        <w:numPr>
          <w:ilvl w:val="1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5772D2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3:</w:t>
      </w:r>
      <w:r w:rsidR="003910BA" w:rsidRPr="00361793">
        <w:rPr>
          <w:sz w:val="22"/>
          <w:szCs w:val="22"/>
        </w:rPr>
        <w:t xml:space="preserve">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Develop</w:t>
      </w:r>
      <w:r w:rsidR="00BE10C2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ing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 detailed working plan on enhancing SO and AC accountability taking into consideration the comments made during the public comment per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iod on the Third Draft Proposal;</w:t>
      </w:r>
    </w:p>
    <w:p w14:paraId="46E3DFCE" w14:textId="691DCFA1" w:rsidR="003910BA" w:rsidRPr="00361793" w:rsidRDefault="003910BA" w:rsidP="00361793">
      <w:pPr>
        <w:pStyle w:val="ListParagraph"/>
        <w:numPr>
          <w:ilvl w:val="1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Track 4: Assess</w:t>
      </w:r>
      <w:r w:rsidR="00BE10C2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ing</w:t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whether the Independent Review Process (IRP) would also be applicable to SO and AC activities.</w:t>
      </w:r>
    </w:p>
    <w:p w14:paraId="67EE9556" w14:textId="77777777" w:rsidR="003910BA" w:rsidRPr="00BE10C2" w:rsidRDefault="003910B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14:paraId="52C7AD46" w14:textId="6AFAF8E8" w:rsidR="00F6618A" w:rsidRPr="00BE10C2" w:rsidRDefault="003910BA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Some prelim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inary discussion took place on T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ra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ck 1- effectiveness -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and the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issue was divided into e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ffectiveness of SO/AC Outreach and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effectiveness of community representation in SO/AC decisions.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respect to the T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rack 2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group also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discussed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matter but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it has not come to a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ny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conclusion yet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due to divergence of views among p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articipants.</w:t>
      </w:r>
      <w:r w:rsidR="005772D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4B66D51" w14:textId="07615A3C" w:rsidR="00BE10C2" w:rsidRDefault="00361793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As for T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3,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 order to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ena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ble the group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provide 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work plan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for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it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group established some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questions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the SO/ACs communities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be forwarded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through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 chairs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of SO/ACs.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Regarding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</w:t>
      </w:r>
      <w:r w:rsidR="00BA018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rack 4</w:t>
      </w:r>
      <w:r w:rsidR="005230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5230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D4702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he group has not discussed whether SO/ACs should be subjected to IRP.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7A39C59F" w14:textId="3CCF5C28" w:rsidR="00D4702C" w:rsidRPr="00BE10C2" w:rsidRDefault="004353FE" w:rsidP="00BE10C2">
      <w:pPr>
        <w:spacing w:line="360" w:lineRule="auto"/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2. </w:t>
      </w:r>
      <w:r w:rsidR="00BA03CE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General d</w:t>
      </w: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escription of the </w:t>
      </w:r>
      <w:r w:rsidR="00BA03CE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SO/AC Accountability </w:t>
      </w:r>
    </w:p>
    <w:p w14:paraId="18109DE3" w14:textId="6FAF757B" w:rsidR="00BA03CE" w:rsidRPr="00BE10C2" w:rsidRDefault="00D4702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questions so far addressed by the group </w:t>
      </w:r>
      <w:r w:rsidR="001C078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are: </w:t>
      </w:r>
    </w:p>
    <w:p w14:paraId="4D795195" w14:textId="6ED6D2CA" w:rsidR="00361793" w:rsidRDefault="001C0785" w:rsidP="00361793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 whom SO/A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Cs </w:t>
      </w:r>
      <w:r w:rsidR="00B5554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are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accountable to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?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61793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nd</w:t>
      </w:r>
    </w:p>
    <w:p w14:paraId="470C00A2" w14:textId="423B908E" w:rsidR="00BA03CE" w:rsidRPr="00361793" w:rsidRDefault="001E6A35" w:rsidP="00361793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What are they accountable for</w:t>
      </w:r>
      <w:r w:rsidR="00BA03CE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?</w:t>
      </w:r>
      <w:r w:rsidR="00A63C36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F8992F9" w14:textId="77777777" w:rsidR="00361793" w:rsidRDefault="00A63C36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discussed various scenarios.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scenario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for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which there seems to be general agreement is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that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SO/ACs should normally be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accountable to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lastRenderedPageBreak/>
        <w:t xml:space="preserve">their stakeholder group (internal and external) as defined by the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ICANN B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ylaws.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group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is 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examining a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process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through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which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SO/ACs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will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be asked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define their de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signated community. If their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designated community is broader than what indicated in the Bylaws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BA03C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necessary information on such broader community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should be also provided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</w:p>
    <w:p w14:paraId="3F35B5A5" w14:textId="77777777" w:rsidR="00361793" w:rsidRDefault="00B17150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issue of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accountability of SO/ACs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with respect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each other and 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with respect</w:t>
      </w:r>
      <w:r w:rsidR="00BE10C2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global Internet users were</w:t>
      </w:r>
      <w:r w:rsidR="00A8444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also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discussed but has not yet received strong support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be pursued. </w:t>
      </w:r>
    </w:p>
    <w:p w14:paraId="155F56A8" w14:textId="0A865203" w:rsidR="00D4702C" w:rsidRPr="00BE10C2" w:rsidRDefault="00A84446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Further discussion may 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hopefully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help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receiving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support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of the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participant at</w:t>
      </w:r>
      <w:r w:rsidR="00D412CC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future meetings of the group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14:paraId="058C2DA5" w14:textId="680273F3" w:rsidR="00A63C36" w:rsidRPr="00BE10C2" w:rsidRDefault="00D412C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he question of what SO/ACs are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accountable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for was addressed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under T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rack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1,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which includes efforts for outreach,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removal of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entry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barriers, if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any,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and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wider </w:t>
      </w:r>
      <w:r w:rsidR="00A63C36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representation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at the meetings and 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 decision-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making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process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This will be combined with </w:t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questions addressed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SO/ACs about their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existing and extended 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accountability mechanisms</w:t>
      </w:r>
      <w:r w:rsidR="001E6A35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to contribute </w:t>
      </w:r>
      <w:r w:rsid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 T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rack </w:t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</w:t>
      </w:r>
      <w:r w:rsidR="00B17150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</w:p>
    <w:p w14:paraId="6DBFD8C6" w14:textId="49C61448" w:rsidR="00D4702C" w:rsidRPr="00361793" w:rsidRDefault="004353FE" w:rsidP="00BE10C2">
      <w:pPr>
        <w:spacing w:line="360" w:lineRule="auto"/>
        <w:ind w:left="72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2.1 Current Stat</w:t>
      </w:r>
      <w:r w:rsidR="00D412CC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us</w:t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of activities</w:t>
      </w:r>
      <w:r w:rsidR="00D412CC"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29C31D28" w14:textId="5F658541" w:rsidR="003910BA" w:rsidRPr="00BE10C2" w:rsidRDefault="00D4702C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</w:rPr>
      </w:pPr>
      <w:r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The WS2 SO/AC Accountability members have worked on some questions to be forwarded to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</w:rPr>
        <w:t>the chairs</w:t>
      </w:r>
      <w:r w:rsidR="00D412CC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r w:rsidRPr="00361793">
        <w:rPr>
          <w:rFonts w:ascii="Arial" w:eastAsia="Times New Roman" w:hAnsi="Arial" w:cs="Arial"/>
          <w:color w:val="222222"/>
          <w:sz w:val="22"/>
          <w:szCs w:val="22"/>
        </w:rPr>
        <w:t>of SO/AC</w:t>
      </w:r>
      <w:r w:rsidR="00361793" w:rsidRPr="00361793">
        <w:rPr>
          <w:rFonts w:ascii="Arial" w:eastAsia="Times New Roman" w:hAnsi="Arial" w:cs="Arial"/>
          <w:color w:val="222222"/>
          <w:sz w:val="22"/>
          <w:szCs w:val="22"/>
        </w:rPr>
        <w:t>s</w:t>
      </w:r>
      <w:r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as a part of </w:t>
      </w:r>
      <w:r w:rsidR="00B5554A" w:rsidRPr="00361793">
        <w:rPr>
          <w:rFonts w:ascii="Arial" w:eastAsia="Times New Roman" w:hAnsi="Arial" w:cs="Arial"/>
          <w:color w:val="222222"/>
          <w:sz w:val="22"/>
          <w:szCs w:val="22"/>
        </w:rPr>
        <w:t>action</w:t>
      </w:r>
      <w:r w:rsidR="00BE10C2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to be taken</w:t>
      </w:r>
      <w:r w:rsidR="00F6618A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under </w:t>
      </w:r>
      <w:r w:rsidR="00361793" w:rsidRPr="00361793">
        <w:rPr>
          <w:rFonts w:ascii="Arial" w:eastAsia="Times New Roman" w:hAnsi="Arial" w:cs="Arial"/>
          <w:color w:val="222222"/>
          <w:sz w:val="22"/>
          <w:szCs w:val="22"/>
        </w:rPr>
        <w:t>T</w:t>
      </w:r>
      <w:r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rack </w:t>
      </w:r>
      <w:r w:rsidR="008326CC" w:rsidRPr="00361793">
        <w:rPr>
          <w:rFonts w:ascii="Arial" w:eastAsia="Times New Roman" w:hAnsi="Arial" w:cs="Arial"/>
          <w:color w:val="222222"/>
          <w:sz w:val="22"/>
          <w:szCs w:val="22"/>
        </w:rPr>
        <w:t>3</w:t>
      </w:r>
      <w:r w:rsidR="00361793">
        <w:rPr>
          <w:rFonts w:ascii="Arial" w:eastAsia="Times New Roman" w:hAnsi="Arial" w:cs="Arial"/>
          <w:strike/>
          <w:color w:val="222222"/>
          <w:sz w:val="22"/>
          <w:szCs w:val="22"/>
        </w:rPr>
        <w:t xml:space="preserve">. </w:t>
      </w:r>
      <w:bookmarkStart w:id="0" w:name="_GoBack"/>
      <w:bookmarkEnd w:id="0"/>
      <w:r w:rsidR="00F6618A" w:rsidRPr="00361793">
        <w:rPr>
          <w:rFonts w:ascii="Arial" w:eastAsia="Times New Roman" w:hAnsi="Arial" w:cs="Arial"/>
          <w:color w:val="222222"/>
          <w:sz w:val="22"/>
          <w:szCs w:val="22"/>
        </w:rPr>
        <w:t>The group as i</w:t>
      </w:r>
      <w:r w:rsidRPr="00361793">
        <w:rPr>
          <w:rFonts w:ascii="Arial" w:eastAsia="Times New Roman" w:hAnsi="Arial" w:cs="Arial"/>
          <w:color w:val="222222"/>
          <w:sz w:val="22"/>
          <w:szCs w:val="22"/>
        </w:rPr>
        <w:t>ts next step</w:t>
      </w:r>
      <w:r w:rsidR="00F6618A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of work will soon </w:t>
      </w:r>
      <w:r w:rsidR="003910BA" w:rsidRPr="00361793">
        <w:rPr>
          <w:rFonts w:ascii="Arial" w:eastAsia="Times New Roman" w:hAnsi="Arial" w:cs="Arial"/>
          <w:color w:val="222222"/>
          <w:sz w:val="22"/>
          <w:szCs w:val="22"/>
        </w:rPr>
        <w:t>take up</w:t>
      </w:r>
      <w:r w:rsidR="00F6618A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 necessary actions </w:t>
      </w:r>
      <w:r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on track </w:t>
      </w:r>
      <w:r w:rsidR="00BE10C2" w:rsidRPr="00361793">
        <w:rPr>
          <w:rFonts w:ascii="Arial" w:eastAsia="Times New Roman" w:hAnsi="Arial" w:cs="Arial"/>
          <w:color w:val="222222"/>
          <w:sz w:val="22"/>
          <w:szCs w:val="22"/>
        </w:rPr>
        <w:t xml:space="preserve">4 </w:t>
      </w:r>
      <w:r w:rsidR="00F6618A" w:rsidRPr="00361793">
        <w:rPr>
          <w:rFonts w:ascii="Arial" w:eastAsia="Times New Roman" w:hAnsi="Arial" w:cs="Arial"/>
          <w:color w:val="222222"/>
          <w:sz w:val="22"/>
          <w:szCs w:val="22"/>
        </w:rPr>
        <w:t>as outlined above</w:t>
      </w:r>
      <w:r w:rsidRPr="0036179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4353FE" w:rsidRPr="00361793">
        <w:rPr>
          <w:rFonts w:ascii="Arial" w:eastAsia="Times New Roman" w:hAnsi="Arial" w:cs="Arial"/>
          <w:color w:val="222222"/>
          <w:sz w:val="22"/>
          <w:szCs w:val="22"/>
        </w:rPr>
        <w:br/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2.2 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Prog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ess 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Report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See </w:t>
      </w:r>
      <w:r w:rsid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attached a work in process report.</w:t>
      </w:r>
    </w:p>
    <w:p w14:paraId="32CCF728" w14:textId="77777777" w:rsidR="003910BA" w:rsidRPr="00BE10C2" w:rsidRDefault="003910BA" w:rsidP="00BE10C2">
      <w:pPr>
        <w:pStyle w:val="ListParagraph"/>
        <w:spacing w:line="360" w:lineRule="auto"/>
        <w:rPr>
          <w:rFonts w:ascii="Arial" w:eastAsia="Times New Roman" w:hAnsi="Arial" w:cs="Arial"/>
          <w:color w:val="222222"/>
          <w:sz w:val="22"/>
          <w:szCs w:val="22"/>
        </w:rPr>
      </w:pPr>
    </w:p>
    <w:p w14:paraId="0673B2A1" w14:textId="10D2092B" w:rsidR="003910BA" w:rsidRPr="00BE10C2" w:rsidRDefault="004353FE" w:rsidP="00BE10C2">
      <w:pPr>
        <w:pStyle w:val="ListParagraph"/>
        <w:spacing w:line="360" w:lineRule="auto"/>
        <w:ind w:left="709" w:hanging="709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3</w:t>
      </w:r>
      <w:r w:rsidR="00BE10C2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.</w:t>
      </w:r>
      <w:r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Recommendation</w:t>
      </w:r>
      <w:r w:rsidR="00F6618A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proofErr w:type="gramStart"/>
      <w:r w:rsidR="00F6618A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To</w:t>
      </w:r>
      <w:proofErr w:type="gramEnd"/>
      <w:r w:rsidR="00F6618A" w:rsidRPr="00BE10C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be developed</w:t>
      </w:r>
      <w:r w:rsidR="00F6618A"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3.1 Requirements for Recommendation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="003910BA" w:rsidRPr="00BE10C2">
        <w:rPr>
          <w:rFonts w:ascii="Arial" w:eastAsia="Times New Roman" w:hAnsi="Arial" w:cs="Arial"/>
          <w:color w:val="222222"/>
          <w:sz w:val="22"/>
          <w:szCs w:val="22"/>
        </w:rPr>
        <w:t>The group does not have any recommendations at this stage.</w:t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3.2 Rationale for Recommendation</w:t>
      </w:r>
    </w:p>
    <w:p w14:paraId="73EC08DB" w14:textId="3972AF67" w:rsidR="004353FE" w:rsidRPr="00BE10C2" w:rsidRDefault="003910BA" w:rsidP="00BE10C2">
      <w:pPr>
        <w:pStyle w:val="ListParagraph"/>
        <w:spacing w:line="360" w:lineRule="auto"/>
        <w:ind w:left="1440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BE10C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Not applicable</w:t>
      </w:r>
      <w:r w:rsidR="004353FE" w:rsidRPr="00BE10C2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411CAD2C" w14:textId="77777777" w:rsidR="00E23994" w:rsidRPr="00BE10C2" w:rsidRDefault="00E23994" w:rsidP="00BE10C2">
      <w:pPr>
        <w:spacing w:line="360" w:lineRule="auto"/>
        <w:rPr>
          <w:sz w:val="22"/>
          <w:szCs w:val="22"/>
        </w:rPr>
      </w:pPr>
    </w:p>
    <w:sectPr w:rsidR="00E23994" w:rsidRPr="00BE10C2" w:rsidSect="00AD66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9CC"/>
    <w:multiLevelType w:val="hybridMultilevel"/>
    <w:tmpl w:val="F41C6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F55D01"/>
    <w:multiLevelType w:val="hybridMultilevel"/>
    <w:tmpl w:val="D4683498"/>
    <w:lvl w:ilvl="0" w:tplc="3B7A2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E45A6"/>
    <w:multiLevelType w:val="hybridMultilevel"/>
    <w:tmpl w:val="82989BB8"/>
    <w:lvl w:ilvl="0" w:tplc="BD6091EC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A78DC"/>
    <w:multiLevelType w:val="hybridMultilevel"/>
    <w:tmpl w:val="81B8FA18"/>
    <w:lvl w:ilvl="0" w:tplc="052A5EA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FE"/>
    <w:rsid w:val="00056D24"/>
    <w:rsid w:val="001C0785"/>
    <w:rsid w:val="001E6A35"/>
    <w:rsid w:val="002E2A9E"/>
    <w:rsid w:val="00316122"/>
    <w:rsid w:val="00361793"/>
    <w:rsid w:val="003910BA"/>
    <w:rsid w:val="004353FE"/>
    <w:rsid w:val="00523035"/>
    <w:rsid w:val="005772D2"/>
    <w:rsid w:val="006739D2"/>
    <w:rsid w:val="007202A2"/>
    <w:rsid w:val="007D578D"/>
    <w:rsid w:val="008326CC"/>
    <w:rsid w:val="009515E4"/>
    <w:rsid w:val="00A63C36"/>
    <w:rsid w:val="00A84446"/>
    <w:rsid w:val="00AD6606"/>
    <w:rsid w:val="00B17150"/>
    <w:rsid w:val="00B5554A"/>
    <w:rsid w:val="00BA0186"/>
    <w:rsid w:val="00BA03CE"/>
    <w:rsid w:val="00BE10C2"/>
    <w:rsid w:val="00C5529B"/>
    <w:rsid w:val="00D412CC"/>
    <w:rsid w:val="00D4702C"/>
    <w:rsid w:val="00E23994"/>
    <w:rsid w:val="00E97D28"/>
    <w:rsid w:val="00F6618A"/>
    <w:rsid w:val="00F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1C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D2"/>
    <w:pPr>
      <w:keepNext/>
      <w:keepLines/>
      <w:numPr>
        <w:numId w:val="2"/>
      </w:numPr>
      <w:spacing w:before="480"/>
      <w:ind w:hanging="180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515E4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39D2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D4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BA65-FB01-44F0-81A1-5B92F813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Kharco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 Badiei</dc:creator>
  <cp:lastModifiedBy>Giovanni Seppia</cp:lastModifiedBy>
  <cp:revision>3</cp:revision>
  <dcterms:created xsi:type="dcterms:W3CDTF">2016-10-24T16:24:00Z</dcterms:created>
  <dcterms:modified xsi:type="dcterms:W3CDTF">2016-10-24T16:38:00Z</dcterms:modified>
</cp:coreProperties>
</file>