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3723A5E6" w14:textId="77777777" w:rsidR="001F544D" w:rsidRPr="001F544D" w:rsidRDefault="001F544D" w:rsidP="001F544D">
      <w:pPr>
        <w:pStyle w:val="TOC2"/>
        <w:tabs>
          <w:tab w:val="right" w:pos="9350"/>
        </w:tabs>
        <w:spacing w:before="60"/>
        <w:rPr>
          <w:rFonts w:asciiTheme="majorHAnsi" w:hAnsiTheme="majorHAnsi"/>
          <w:i w:val="0"/>
          <w:noProof/>
          <w:sz w:val="20"/>
          <w:szCs w:val="20"/>
          <w:lang w:eastAsia="ja-JP"/>
        </w:rPr>
      </w:pPr>
      <w:r w:rsidRPr="001F544D">
        <w:rPr>
          <w:rFonts w:asciiTheme="majorHAnsi" w:hAnsiTheme="majorHAnsi"/>
          <w:sz w:val="20"/>
          <w:szCs w:val="20"/>
        </w:rPr>
        <w:fldChar w:fldCharType="begin"/>
      </w:r>
      <w:r w:rsidRPr="001F544D">
        <w:rPr>
          <w:rFonts w:asciiTheme="majorHAnsi" w:hAnsiTheme="majorHAnsi"/>
          <w:sz w:val="20"/>
          <w:szCs w:val="20"/>
        </w:rPr>
        <w:instrText xml:space="preserve"> TOC \o "1-3" </w:instrText>
      </w:r>
      <w:r w:rsidRPr="001F544D">
        <w:rPr>
          <w:rFonts w:asciiTheme="majorHAnsi" w:hAnsiTheme="majorHAnsi"/>
          <w:sz w:val="20"/>
          <w:szCs w:val="20"/>
        </w:rPr>
        <w:fldChar w:fldCharType="separate"/>
      </w:r>
      <w:r w:rsidRPr="001F544D">
        <w:rPr>
          <w:rFonts w:asciiTheme="majorHAnsi" w:hAnsiTheme="majorHAnsi"/>
          <w:noProof/>
          <w:sz w:val="20"/>
          <w:szCs w:val="20"/>
        </w:rPr>
        <w:t>The mandate for SO/AC Accountability in Work Stream 2 (WS2)</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_Toc349584504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1</w:t>
      </w:r>
      <w:r w:rsidRPr="001F544D">
        <w:rPr>
          <w:rFonts w:asciiTheme="majorHAnsi" w:hAnsiTheme="majorHAnsi"/>
          <w:noProof/>
          <w:sz w:val="20"/>
          <w:szCs w:val="20"/>
        </w:rPr>
        <w:fldChar w:fldCharType="end"/>
      </w:r>
    </w:p>
    <w:p w14:paraId="6DA03953" w14:textId="77777777" w:rsidR="001F544D" w:rsidRPr="001F544D" w:rsidRDefault="001F544D" w:rsidP="001F544D">
      <w:pPr>
        <w:pStyle w:val="TOC2"/>
        <w:tabs>
          <w:tab w:val="right" w:pos="9350"/>
        </w:tabs>
        <w:spacing w:before="60"/>
        <w:rPr>
          <w:rFonts w:asciiTheme="majorHAnsi" w:hAnsiTheme="majorHAnsi"/>
          <w:i w:val="0"/>
          <w:noProof/>
          <w:sz w:val="20"/>
          <w:szCs w:val="20"/>
          <w:lang w:eastAsia="ja-JP"/>
        </w:rPr>
      </w:pPr>
      <w:r w:rsidRPr="001F544D">
        <w:rPr>
          <w:rFonts w:asciiTheme="majorHAnsi" w:hAnsiTheme="majorHAnsi"/>
          <w:noProof/>
          <w:sz w:val="20"/>
          <w:szCs w:val="20"/>
        </w:rPr>
        <w:t>Track 1. Review and develop recommendations to improve SO and AC processes for accountability, transparency, and participation that are helpful to prevent capture.</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_Toc349584505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3</w:t>
      </w:r>
      <w:r w:rsidRPr="001F544D">
        <w:rPr>
          <w:rFonts w:asciiTheme="majorHAnsi" w:hAnsiTheme="majorHAnsi"/>
          <w:noProof/>
          <w:sz w:val="20"/>
          <w:szCs w:val="20"/>
        </w:rPr>
        <w:fldChar w:fldCharType="end"/>
      </w:r>
    </w:p>
    <w:p w14:paraId="36C41E03"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Summary of Best Practice Recommendations for Accountability, Transparency, and Participation within SO/AC/Subgroups</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_Toc349584506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4</w:t>
      </w:r>
      <w:r w:rsidRPr="001F544D">
        <w:rPr>
          <w:rFonts w:asciiTheme="majorHAnsi" w:hAnsiTheme="majorHAnsi"/>
          <w:noProof/>
          <w:sz w:val="20"/>
          <w:szCs w:val="20"/>
        </w:rPr>
        <w:fldChar w:fldCharType="end"/>
      </w:r>
    </w:p>
    <w:p w14:paraId="1CC0327B"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Review and draft recommendations regarding SO/AC Accountability</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_Toc349584507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6</w:t>
      </w:r>
      <w:r w:rsidRPr="001F544D">
        <w:rPr>
          <w:rFonts w:asciiTheme="majorHAnsi" w:hAnsiTheme="majorHAnsi"/>
          <w:noProof/>
          <w:sz w:val="20"/>
          <w:szCs w:val="20"/>
        </w:rPr>
        <w:fldChar w:fldCharType="end"/>
      </w:r>
    </w:p>
    <w:p w14:paraId="145D66E9"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Review and draft recommendations regarding SO/AC Transparency</w:t>
      </w:r>
      <w:bookmarkStart w:id="0" w:name="_GoBack"/>
      <w:bookmarkEnd w:id="0"/>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_Toc349584508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11</w:t>
      </w:r>
      <w:r w:rsidRPr="001F544D">
        <w:rPr>
          <w:rFonts w:asciiTheme="majorHAnsi" w:hAnsiTheme="majorHAnsi"/>
          <w:noProof/>
          <w:sz w:val="20"/>
          <w:szCs w:val="20"/>
        </w:rPr>
        <w:fldChar w:fldCharType="end"/>
      </w:r>
    </w:p>
    <w:p w14:paraId="5E41C465"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Review and draft recommendations regarding SO/AC Participation</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_Toc349584509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15</w:t>
      </w:r>
      <w:r w:rsidRPr="001F544D">
        <w:rPr>
          <w:rFonts w:asciiTheme="majorHAnsi" w:hAnsiTheme="majorHAnsi"/>
          <w:noProof/>
          <w:sz w:val="20"/>
          <w:szCs w:val="20"/>
        </w:rPr>
        <w:fldChar w:fldCharType="end"/>
      </w:r>
    </w:p>
    <w:p w14:paraId="1C184909"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Review and draft recommendations regarding SO/AC Outreach</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_Toc349584510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19</w:t>
      </w:r>
      <w:r w:rsidRPr="001F544D">
        <w:rPr>
          <w:rFonts w:asciiTheme="majorHAnsi" w:hAnsiTheme="majorHAnsi"/>
          <w:noProof/>
          <w:sz w:val="20"/>
          <w:szCs w:val="20"/>
        </w:rPr>
        <w:fldChar w:fldCharType="end"/>
      </w:r>
    </w:p>
    <w:p w14:paraId="6AB698C9" w14:textId="77777777" w:rsidR="001F544D" w:rsidRPr="001F544D" w:rsidRDefault="001F544D" w:rsidP="001F544D">
      <w:pPr>
        <w:pStyle w:val="TOC3"/>
        <w:tabs>
          <w:tab w:val="right" w:pos="9350"/>
        </w:tabs>
        <w:spacing w:before="60"/>
        <w:rPr>
          <w:rFonts w:asciiTheme="majorHAnsi" w:hAnsiTheme="majorHAnsi"/>
          <w:noProof/>
          <w:sz w:val="20"/>
          <w:szCs w:val="20"/>
          <w:lang w:eastAsia="ja-JP"/>
        </w:rPr>
      </w:pPr>
      <w:r w:rsidRPr="001F544D">
        <w:rPr>
          <w:rFonts w:asciiTheme="majorHAnsi" w:hAnsiTheme="majorHAnsi"/>
          <w:noProof/>
          <w:sz w:val="20"/>
          <w:szCs w:val="20"/>
        </w:rPr>
        <w:t>Review and draft recommendations regarding Updates to SO/AC/Subgroup Policies and Procedures</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_Toc349584511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24</w:t>
      </w:r>
      <w:r w:rsidRPr="001F544D">
        <w:rPr>
          <w:rFonts w:asciiTheme="majorHAnsi" w:hAnsiTheme="majorHAnsi"/>
          <w:noProof/>
          <w:sz w:val="20"/>
          <w:szCs w:val="20"/>
        </w:rPr>
        <w:fldChar w:fldCharType="end"/>
      </w:r>
    </w:p>
    <w:p w14:paraId="7A1051E6" w14:textId="77777777" w:rsidR="001F544D" w:rsidRPr="001F544D" w:rsidRDefault="001F544D" w:rsidP="001F544D">
      <w:pPr>
        <w:pStyle w:val="TOC2"/>
        <w:tabs>
          <w:tab w:val="right" w:pos="9350"/>
        </w:tabs>
        <w:spacing w:before="60"/>
        <w:rPr>
          <w:rFonts w:asciiTheme="majorHAnsi" w:hAnsiTheme="majorHAnsi"/>
          <w:i w:val="0"/>
          <w:noProof/>
          <w:sz w:val="20"/>
          <w:szCs w:val="20"/>
          <w:lang w:eastAsia="ja-JP"/>
        </w:rPr>
      </w:pPr>
      <w:r w:rsidRPr="001F544D">
        <w:rPr>
          <w:rFonts w:asciiTheme="majorHAnsi" w:hAnsiTheme="majorHAnsi"/>
          <w:noProof/>
          <w:sz w:val="20"/>
          <w:szCs w:val="20"/>
        </w:rPr>
        <w:t>Track 2.  Evaluate the proposed “Mutual Accountability Roundtable” to assess its viability and, if viable, undertake the necessary actions to implement it.</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_Toc349584512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27</w:t>
      </w:r>
      <w:r w:rsidRPr="001F544D">
        <w:rPr>
          <w:rFonts w:asciiTheme="majorHAnsi" w:hAnsiTheme="majorHAnsi"/>
          <w:noProof/>
          <w:sz w:val="20"/>
          <w:szCs w:val="20"/>
        </w:rPr>
        <w:fldChar w:fldCharType="end"/>
      </w:r>
    </w:p>
    <w:p w14:paraId="5F22E08F" w14:textId="77777777" w:rsidR="001F544D" w:rsidRPr="001F544D" w:rsidRDefault="001F544D" w:rsidP="001F544D">
      <w:pPr>
        <w:pStyle w:val="TOC2"/>
        <w:tabs>
          <w:tab w:val="right" w:pos="9350"/>
        </w:tabs>
        <w:spacing w:before="60"/>
        <w:rPr>
          <w:rFonts w:asciiTheme="majorHAnsi" w:hAnsiTheme="majorHAnsi"/>
          <w:i w:val="0"/>
          <w:noProof/>
          <w:sz w:val="20"/>
          <w:szCs w:val="20"/>
          <w:lang w:eastAsia="ja-JP"/>
        </w:rPr>
      </w:pPr>
      <w:r w:rsidRPr="001F544D">
        <w:rPr>
          <w:rFonts w:asciiTheme="majorHAnsi" w:hAnsiTheme="majorHAnsi"/>
          <w:noProof/>
          <w:sz w:val="20"/>
          <w:szCs w:val="20"/>
        </w:rPr>
        <w:t>Track 3. Assess whether the Independent Review Process (IRP) should be applied to SO &amp; AC activities.</w:t>
      </w:r>
      <w:r w:rsidRPr="001F544D">
        <w:rPr>
          <w:rFonts w:asciiTheme="majorHAnsi" w:hAnsiTheme="majorHAnsi"/>
          <w:noProof/>
          <w:sz w:val="20"/>
          <w:szCs w:val="20"/>
        </w:rPr>
        <w:tab/>
      </w:r>
      <w:r w:rsidRPr="001F544D">
        <w:rPr>
          <w:rFonts w:asciiTheme="majorHAnsi" w:hAnsiTheme="majorHAnsi"/>
          <w:noProof/>
          <w:sz w:val="20"/>
          <w:szCs w:val="20"/>
        </w:rPr>
        <w:fldChar w:fldCharType="begin"/>
      </w:r>
      <w:r w:rsidRPr="001F544D">
        <w:rPr>
          <w:rFonts w:asciiTheme="majorHAnsi" w:hAnsiTheme="majorHAnsi"/>
          <w:noProof/>
          <w:sz w:val="20"/>
          <w:szCs w:val="20"/>
        </w:rPr>
        <w:instrText xml:space="preserve"> PAGEREF _Toc349584513 \h </w:instrText>
      </w:r>
      <w:r w:rsidRPr="001F544D">
        <w:rPr>
          <w:rFonts w:asciiTheme="majorHAnsi" w:hAnsiTheme="majorHAnsi"/>
          <w:noProof/>
          <w:sz w:val="20"/>
          <w:szCs w:val="20"/>
        </w:rPr>
      </w:r>
      <w:r w:rsidRPr="001F544D">
        <w:rPr>
          <w:rFonts w:asciiTheme="majorHAnsi" w:hAnsiTheme="majorHAnsi"/>
          <w:noProof/>
          <w:sz w:val="20"/>
          <w:szCs w:val="20"/>
        </w:rPr>
        <w:fldChar w:fldCharType="separate"/>
      </w:r>
      <w:r w:rsidRPr="001F544D">
        <w:rPr>
          <w:rFonts w:asciiTheme="majorHAnsi" w:hAnsiTheme="majorHAnsi"/>
          <w:noProof/>
          <w:sz w:val="20"/>
          <w:szCs w:val="20"/>
        </w:rPr>
        <w:t>28</w:t>
      </w:r>
      <w:r w:rsidRPr="001F544D">
        <w:rPr>
          <w:rFonts w:asciiTheme="majorHAnsi" w:hAnsiTheme="majorHAnsi"/>
          <w:noProof/>
          <w:sz w:val="20"/>
          <w:szCs w:val="20"/>
        </w:rPr>
        <w:fldChar w:fldCharType="end"/>
      </w:r>
    </w:p>
    <w:p w14:paraId="2904F8DA" w14:textId="1FC52B64" w:rsidR="00F15F80" w:rsidRPr="00F15F80" w:rsidRDefault="001F544D" w:rsidP="001F544D">
      <w:pPr>
        <w:spacing w:before="60"/>
      </w:pPr>
      <w:r w:rsidRPr="001F544D">
        <w:rPr>
          <w:rFonts w:asciiTheme="majorHAnsi" w:hAnsiTheme="majorHAnsi"/>
          <w:sz w:val="20"/>
          <w:szCs w:val="20"/>
        </w:rPr>
        <w:fldChar w:fldCharType="end"/>
      </w:r>
    </w:p>
    <w:p w14:paraId="36530862" w14:textId="0C74CED5" w:rsidR="00AE6146" w:rsidRPr="00AE6146" w:rsidRDefault="00AE6146" w:rsidP="001837AC">
      <w:pPr>
        <w:pStyle w:val="Heading2"/>
      </w:pPr>
      <w:bookmarkStart w:id="1" w:name="_Toc349068879"/>
      <w:bookmarkStart w:id="2" w:name="_Toc349128810"/>
      <w:bookmarkStart w:id="3" w:name="_Toc349584504"/>
      <w:r w:rsidRPr="00AE6146">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lastRenderedPageBreak/>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49584505"/>
      <w:r w:rsidRPr="00533A9B">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0"/>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77777777"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p>
    <w:p w14:paraId="7CC31AF8" w14:textId="7B40FD14"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p>
    <w:p w14:paraId="62128961" w14:textId="144C0E8B"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p>
    <w:p w14:paraId="6BA0D659" w14:textId="79F29A0E"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p>
    <w:p w14:paraId="44D6A7DD" w14:textId="0F50DA04"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3AF77A24" w14:textId="2D62792C"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p>
    <w:p w14:paraId="63D25380" w14:textId="77777777" w:rsidR="004C1E51" w:rsidRDefault="004C1E51" w:rsidP="004C1E51">
      <w:pPr>
        <w:pStyle w:val="normal0"/>
        <w:rPr>
          <w:rFonts w:ascii="Calibri" w:eastAsia="Calibri" w:hAnsi="Calibri" w:cs="Calibri"/>
          <w:sz w:val="22"/>
          <w:szCs w:val="22"/>
        </w:rPr>
      </w:pPr>
    </w:p>
    <w:p w14:paraId="5BFDC0BC" w14:textId="5B9BD8B5" w:rsidR="004C1E51" w:rsidRDefault="0033123F" w:rsidP="004C1E51">
      <w:pPr>
        <w:pStyle w:val="normal0"/>
        <w:rPr>
          <w:rFonts w:ascii="Calibri" w:eastAsia="Calibri" w:hAnsi="Calibri" w:cs="Calibri"/>
          <w:sz w:val="22"/>
          <w:szCs w:val="22"/>
        </w:rPr>
      </w:pPr>
      <w:r>
        <w:rPr>
          <w:rFonts w:ascii="Calibri" w:eastAsia="Calibri" w:hAnsi="Calibri" w:cs="Calibri"/>
          <w:sz w:val="22"/>
          <w:szCs w:val="22"/>
        </w:rPr>
        <w:t>O</w:t>
      </w:r>
      <w:r w:rsidR="003A1F67">
        <w:rPr>
          <w:rFonts w:ascii="Calibri" w:eastAsia="Calibri" w:hAnsi="Calibri" w:cs="Calibri"/>
          <w:sz w:val="22"/>
          <w:szCs w:val="22"/>
        </w:rPr>
        <w:t>f the AC</w:t>
      </w:r>
      <w:r w:rsidR="0034267D">
        <w:rPr>
          <w:rFonts w:ascii="Calibri" w:eastAsia="Calibri" w:hAnsi="Calibri" w:cs="Calibri"/>
          <w:sz w:val="22"/>
          <w:szCs w:val="22"/>
        </w:rPr>
        <w:t>/SOs, only RSSAC did not respond</w:t>
      </w:r>
      <w:r>
        <w:rPr>
          <w:rFonts w:ascii="Calibri" w:eastAsia="Calibri" w:hAnsi="Calibri" w:cs="Calibri"/>
          <w:sz w:val="22"/>
          <w:szCs w:val="22"/>
        </w:rPr>
        <w:t xml:space="preserve">.  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0"/>
        <w:rPr>
          <w:rFonts w:ascii="Calibri" w:eastAsia="Calibri" w:hAnsi="Calibri" w:cs="Calibri"/>
          <w:sz w:val="22"/>
          <w:szCs w:val="22"/>
        </w:rPr>
      </w:pPr>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0"/>
        <w:rPr>
          <w:rFonts w:asciiTheme="majorHAnsi" w:hAnsiTheme="majorHAnsi"/>
          <w:sz w:val="22"/>
          <w:szCs w:val="22"/>
        </w:rPr>
      </w:pPr>
    </w:p>
    <w:p w14:paraId="6B1386C3" w14:textId="13103523" w:rsidR="00567EA6" w:rsidRDefault="006063E5" w:rsidP="006063E5">
      <w:pPr>
        <w:pStyle w:val="Heading3"/>
      </w:pPr>
      <w:bookmarkStart w:id="7" w:name="_Toc349584506"/>
      <w:r>
        <w:t>Summary of Best Practice Recommendations for Accountability, Transparency, and Participation within SO/AC/Subgroups</w:t>
      </w:r>
      <w:bookmarkEnd w:id="7"/>
    </w:p>
    <w:p w14:paraId="6688396F" w14:textId="77777777" w:rsidR="006063E5" w:rsidRDefault="006063E5" w:rsidP="006063E5"/>
    <w:p w14:paraId="588814A0" w14:textId="7B1273C5"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2AC67B0" w14:textId="77777777" w:rsidR="006063E5" w:rsidRDefault="006063E5" w:rsidP="006063E5">
      <w:pPr>
        <w:pStyle w:val="normal0"/>
      </w:pPr>
    </w:p>
    <w:p w14:paraId="3E6FEB13" w14:textId="77777777" w:rsidR="001F544D" w:rsidRPr="006063E5"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669A00F5" w14:textId="77777777" w:rsidR="001F544D" w:rsidRPr="001C5BCF" w:rsidRDefault="001F544D" w:rsidP="001F544D">
      <w:pPr>
        <w:pStyle w:val="normal0"/>
        <w:numPr>
          <w:ilvl w:val="0"/>
          <w:numId w:val="63"/>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3D2394AA" w14:textId="77777777" w:rsidR="001F544D"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3617EE67"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4F21C912"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E2BA7B5"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BCDA15F"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2AB49274"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6C6336EB"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38165513"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4BCA8FFF"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3502F82A"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4DF72485" w14:textId="77777777" w:rsidR="001F544D" w:rsidRPr="006063E5" w:rsidRDefault="001F544D" w:rsidP="001F544D">
      <w:pPr>
        <w:pStyle w:val="normal0"/>
        <w:numPr>
          <w:ilvl w:val="0"/>
          <w:numId w:val="63"/>
        </w:numPr>
        <w:spacing w:before="120"/>
        <w:rPr>
          <w:rFonts w:asciiTheme="majorHAnsi" w:hAnsiTheme="majorHAnsi"/>
        </w:rPr>
      </w:pPr>
      <w:r w:rsidRPr="00A217AE">
        <w:rPr>
          <w:rFonts w:asciiTheme="majorHAnsi" w:eastAsia="Calibri" w:hAnsiTheme="majorHAnsi" w:cs="Calibri"/>
          <w:sz w:val="22"/>
          <w:szCs w:val="22"/>
        </w:rPr>
        <w:t>For any meetings, be they closed to members only or open to anyone, the members have to be able to access minutes and/or recordings</w:t>
      </w:r>
      <w:r>
        <w:rPr>
          <w:rFonts w:asciiTheme="majorHAnsi" w:eastAsia="Calibri" w:hAnsiTheme="majorHAnsi" w:cs="Calibri"/>
          <w:sz w:val="22"/>
          <w:szCs w:val="22"/>
        </w:rPr>
        <w:t xml:space="preserve">, </w:t>
      </w:r>
      <w:r w:rsidRPr="006063E5">
        <w:rPr>
          <w:rFonts w:asciiTheme="majorHAnsi" w:eastAsia="Calibri" w:hAnsiTheme="majorHAnsi" w:cs="Calibri"/>
          <w:sz w:val="22"/>
          <w:szCs w:val="22"/>
        </w:rPr>
        <w:t>subject to exceptions for confidential matters.</w:t>
      </w:r>
    </w:p>
    <w:p w14:paraId="1D40E42D" w14:textId="77777777" w:rsidR="001F544D" w:rsidRPr="00A217AE"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5D7E4E5D" w14:textId="77777777" w:rsidR="001F544D" w:rsidRPr="001F544D" w:rsidRDefault="001F544D" w:rsidP="001F544D">
      <w:pPr>
        <w:pStyle w:val="normal0"/>
        <w:numPr>
          <w:ilvl w:val="0"/>
          <w:numId w:val="63"/>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3B76FBCD" w14:textId="5BBDD24A"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 xml:space="preserve">Each AC/SO should publish newsletters or other communications that can help eligible non-members to understand the benefits and process of becoming a member. </w:t>
      </w:r>
    </w:p>
    <w:p w14:paraId="5EA6B014" w14:textId="5DA51950"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 xml:space="preserve">ach AC/SO should maintain a publicly- accessible website/wiki pages to advertise their outreach events and opportunities </w:t>
      </w:r>
    </w:p>
    <w:p w14:paraId="3BBDC97B" w14:textId="36A110FA"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ach AC/SO should consider creating a committee (of appropriate size) to manage outreach programs to attract additional eligible members, particularly from parts of their targeted community that may not be adequately participating.</w:t>
      </w:r>
    </w:p>
    <w:p w14:paraId="7AE741D5" w14:textId="5C150935"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Outreach objectives and potential activities should be mentioned in AC/SO bylaws, charter, or procedures</w:t>
      </w:r>
    </w:p>
    <w:p w14:paraId="14D57388" w14:textId="2E0F0D8C"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Each AC/SO should have a strategy for outreach to parts of their targeted community that may not be significantly participating at the time.</w:t>
      </w:r>
    </w:p>
    <w:p w14:paraId="54272A5B" w14:textId="53AE3E2B" w:rsidR="001F544D" w:rsidRPr="001837AC" w:rsidRDefault="001F544D" w:rsidP="001F544D">
      <w:pPr>
        <w:pStyle w:val="normal0"/>
        <w:numPr>
          <w:ilvl w:val="0"/>
          <w:numId w:val="63"/>
        </w:numPr>
        <w:spacing w:before="120"/>
        <w:rPr>
          <w:rFonts w:asciiTheme="majorHAnsi" w:hAnsiTheme="majorHAnsi"/>
        </w:rPr>
      </w:pPr>
      <w:r w:rsidRPr="001F544D">
        <w:rPr>
          <w:rFonts w:asciiTheme="majorHAnsi" w:hAnsiTheme="majorHAnsi"/>
        </w:rPr>
        <w:t>Each SO/AC/Subgroup should review its procedures and charter at regular intervals and make changes to operational procedures and charter as indicated by the review.</w:t>
      </w:r>
    </w:p>
    <w:p w14:paraId="2C3CDDDB" w14:textId="77777777" w:rsidR="001F544D" w:rsidRPr="0013162C" w:rsidRDefault="001F544D" w:rsidP="001F544D">
      <w:pPr>
        <w:pStyle w:val="normal0"/>
        <w:spacing w:before="120"/>
        <w:ind w:left="720"/>
        <w:rPr>
          <w:rFonts w:ascii="Calibri" w:eastAsia="Calibri" w:hAnsi="Calibri" w:cs="Calibri"/>
          <w:sz w:val="22"/>
          <w:szCs w:val="22"/>
        </w:rPr>
      </w:pPr>
    </w:p>
    <w:p w14:paraId="45672782" w14:textId="77777777" w:rsidR="006063E5" w:rsidRDefault="006063E5" w:rsidP="006063E5"/>
    <w:p w14:paraId="216379A0" w14:textId="77777777" w:rsidR="006063E5" w:rsidRPr="006063E5" w:rsidRDefault="006063E5" w:rsidP="006063E5"/>
    <w:p w14:paraId="4B7EA72C" w14:textId="64E78C99" w:rsidR="00567EA6" w:rsidRDefault="00567EA6" w:rsidP="00567EA6">
      <w:pPr>
        <w:pStyle w:val="Heading3"/>
      </w:pPr>
      <w:bookmarkStart w:id="8" w:name="_Toc349128812"/>
      <w:bookmarkStart w:id="9" w:name="_Toc349584507"/>
      <w:r>
        <w:t>Review and draft recommendations regarding SO/AC Accountability</w:t>
      </w:r>
      <w:bookmarkEnd w:id="8"/>
      <w:bookmarkEnd w:id="9"/>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B01557" w:rsidP="008320E0">
      <w:pPr>
        <w:pStyle w:val="normal0"/>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B01557"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B01557"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B01557"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B01557"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4FADC064"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the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0"/>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bdo>
    </w:p>
    <w:p w14:paraId="4E4DFA77" w14:textId="7BF07F5C"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31"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4E7EED9D" w14:textId="208E7562"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A759E7D" w14:textId="16E6EAAB" w:rsidR="006134BF" w:rsidRPr="006063E5" w:rsidRDefault="006134BF" w:rsidP="006063E5">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7D7783F2"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sidR="0095512B">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5191158F" w14:textId="77777777" w:rsidR="00D45DD6" w:rsidRDefault="00D45DD6" w:rsidP="00D45DD6"/>
    <w:p w14:paraId="3B4A40F0" w14:textId="77777777" w:rsidR="00B01557" w:rsidRDefault="00B01557" w:rsidP="00D45DD6"/>
    <w:p w14:paraId="2AAA0A0F" w14:textId="77777777" w:rsidR="00B01557" w:rsidRDefault="00B01557" w:rsidP="00D45DD6"/>
    <w:p w14:paraId="5498EF87" w14:textId="21D490E6" w:rsidR="00A97B7C" w:rsidRDefault="00A97B7C" w:rsidP="001837AC">
      <w:pPr>
        <w:pStyle w:val="Heading3"/>
      </w:pPr>
      <w:bookmarkStart w:id="10" w:name="_Toc349068881"/>
      <w:bookmarkStart w:id="11" w:name="_Toc349128813"/>
      <w:bookmarkStart w:id="12" w:name="_Toc349584508"/>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3" w:name="_gjdgxs" w:colFirst="0" w:colLast="0"/>
      <w:bookmarkEnd w:id="13"/>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1CF6437" w14:textId="77777777" w:rsidR="00A97B7C" w:rsidRPr="00A97B7C" w:rsidRDefault="00A97B7C" w:rsidP="00BC4408">
      <w:pPr>
        <w:pStyle w:val="normal0"/>
        <w:spacing w:before="120"/>
        <w:rPr>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2"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3"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4"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5"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6"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0"/>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bdo>
    </w:p>
    <w:p w14:paraId="16E5CB93"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69"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34EC609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SSAC:</w:t>
      </w:r>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70">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71">
        <w:r w:rsidRPr="00A97B7C">
          <w:rPr>
            <w:rFonts w:asciiTheme="majorHAnsi" w:eastAsia="Calibri" w:hAnsiTheme="majorHAnsi" w:cs="Calibri"/>
            <w:color w:val="0000FF"/>
            <w:sz w:val="20"/>
            <w:szCs w:val="20"/>
            <w:u w:val="single"/>
          </w:rPr>
          <w:t>https://www.icann.org/en/system/files/files/operational-procedures-20jun16-en.pdf</w:t>
        </w:r>
      </w:hyperlink>
      <w:hyperlink r:id="rId72">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3">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4">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5">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6">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49584509"/>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7"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8"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9"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80">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81">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2">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3">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0"/>
        <w:spacing w:before="120"/>
        <w:rPr>
          <w:rFonts w:ascii="Calibri" w:eastAsia="Calibri" w:hAnsi="Calibri" w:cs="Calibri"/>
          <w:sz w:val="20"/>
          <w:szCs w:val="22"/>
        </w:rPr>
      </w:pP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4"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5"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bdo>
    </w:p>
    <w:p w14:paraId="346751D7"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86"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2B89CCC5" w14:textId="77777777" w:rsidR="001837AC" w:rsidRPr="001837AC" w:rsidRDefault="001837AC" w:rsidP="006A5878">
      <w:pPr>
        <w:pStyle w:val="normal0"/>
        <w:spacing w:before="120"/>
        <w:rPr>
          <w:sz w:val="22"/>
        </w:rPr>
      </w:pPr>
      <w:r w:rsidRPr="001837AC">
        <w:rPr>
          <w:rFonts w:ascii="Calibri" w:eastAsia="Calibri" w:hAnsi="Calibri" w:cs="Calibri"/>
          <w:sz w:val="20"/>
          <w:szCs w:val="22"/>
        </w:rPr>
        <w:t>SSAC</w:t>
      </w:r>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0"/>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20" w:name="_Toc349128816"/>
      <w:bookmarkStart w:id="21" w:name="_Toc349584510"/>
      <w:r>
        <w:t xml:space="preserve">Review and draft recommendations regarding SO/AC </w:t>
      </w:r>
      <w:r w:rsidR="00700632">
        <w:t>Outreach</w:t>
      </w:r>
      <w:bookmarkEnd w:id="20"/>
      <w:bookmarkEnd w:id="21"/>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7">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8"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9"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90"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91"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92"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3"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4"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5"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bdo>
    </w:p>
    <w:p w14:paraId="022F17A0"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98"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547C9754"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SSAC</w:t>
      </w:r>
    </w:p>
    <w:p w14:paraId="4AC645CF" w14:textId="77777777"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14:paraId="78EF022F" w14:textId="77777777" w:rsidR="006063E5" w:rsidRDefault="00700632" w:rsidP="00700632">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7282D7EE"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22" w:name="_Toc349128817"/>
      <w:bookmarkStart w:id="23" w:name="_Toc349584511"/>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22"/>
      <w:bookmarkEnd w:id="23"/>
    </w:p>
    <w:p w14:paraId="424BEF46" w14:textId="37684AC6" w:rsidR="00957D42" w:rsidRDefault="005C53A3" w:rsidP="00957D42">
      <w:pPr>
        <w:pStyle w:val="normal0"/>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9"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100">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101"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102"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103"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4"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0"/>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5"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5067D87B" w14:textId="3186BDDB"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SSAC</w:t>
      </w:r>
      <w:r w:rsidR="009E7B95">
        <w:rPr>
          <w:rFonts w:ascii="Calibri" w:eastAsia="Calibri" w:hAnsi="Calibri" w:cs="Calibri"/>
          <w:sz w:val="20"/>
          <w:szCs w:val="22"/>
        </w:rPr>
        <w:t>:</w:t>
      </w:r>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20A2AB4A" w14:textId="1EF98E53" w:rsidR="006063E5" w:rsidRPr="005C53A3" w:rsidRDefault="002A077C" w:rsidP="002A077C">
      <w:pPr>
        <w:pStyle w:val="normal0"/>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regarding U</w:t>
      </w:r>
      <w:r w:rsidR="006A6B37" w:rsidRPr="005C53A3">
        <w:rPr>
          <w:rFonts w:ascii="Calibri" w:eastAsia="Calibri" w:hAnsi="Calibri" w:cs="Calibri"/>
          <w:b/>
          <w:sz w:val="22"/>
          <w:szCs w:val="22"/>
        </w:rPr>
        <w:t>pdates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6A394130" w:rsidR="002A077C" w:rsidRPr="002A077C" w:rsidRDefault="009E7B95" w:rsidP="006063E5">
      <w:pPr>
        <w:pStyle w:val="normal0"/>
        <w:numPr>
          <w:ilvl w:val="0"/>
          <w:numId w:val="60"/>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49584512"/>
      <w:r w:rsidRPr="00E17D88">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7" w:name="_Toc349068887"/>
      <w:bookmarkStart w:id="28" w:name="_Toc349128819"/>
      <w:bookmarkStart w:id="29" w:name="_Toc349584513"/>
      <w:r w:rsidRPr="00E17D88">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7"/>
      <w:footerReference w:type="default" r:id="rId108"/>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E3003A" w:rsidRDefault="00E3003A" w:rsidP="008A3007">
      <w:r>
        <w:separator/>
      </w:r>
    </w:p>
  </w:endnote>
  <w:endnote w:type="continuationSeparator" w:id="0">
    <w:p w14:paraId="2A4F810E" w14:textId="77777777" w:rsidR="00E3003A" w:rsidRDefault="00E3003A"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E3003A" w:rsidRPr="008A3007" w:rsidRDefault="00E3003A"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1F544D">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1F544D">
      <w:rPr>
        <w:rFonts w:asciiTheme="majorHAnsi" w:hAnsiTheme="majorHAnsi" w:cs="Times New Roman"/>
        <w:noProof/>
        <w:sz w:val="20"/>
        <w:szCs w:val="20"/>
      </w:rPr>
      <w:t>2</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E3003A" w:rsidRDefault="00E3003A" w:rsidP="008A3007">
      <w:r>
        <w:separator/>
      </w:r>
    </w:p>
  </w:footnote>
  <w:footnote w:type="continuationSeparator" w:id="0">
    <w:p w14:paraId="5A6201D6" w14:textId="77777777" w:rsidR="00E3003A" w:rsidRDefault="00E3003A" w:rsidP="008A3007">
      <w:r>
        <w:continuationSeparator/>
      </w:r>
    </w:p>
  </w:footnote>
  <w:footnote w:id="1">
    <w:p w14:paraId="38FCD8CC"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E3003A" w:rsidRPr="0004172C" w:rsidRDefault="00E3003A"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E3003A" w:rsidRPr="0004172C" w:rsidRDefault="00E3003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E3003A" w:rsidRPr="00AE6146" w:rsidRDefault="00E3003A"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E3003A" w:rsidRDefault="00E3003A"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41348D13" w:rsidR="00E3003A" w:rsidRPr="008A3007" w:rsidRDefault="00E3003A"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1.2, as of 24-Feb-2016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18"/>
  </w:num>
  <w:num w:numId="4">
    <w:abstractNumId w:val="7"/>
  </w:num>
  <w:num w:numId="5">
    <w:abstractNumId w:val="0"/>
  </w:num>
  <w:num w:numId="6">
    <w:abstractNumId w:val="5"/>
  </w:num>
  <w:num w:numId="7">
    <w:abstractNumId w:val="42"/>
  </w:num>
  <w:num w:numId="8">
    <w:abstractNumId w:val="57"/>
  </w:num>
  <w:num w:numId="9">
    <w:abstractNumId w:val="32"/>
  </w:num>
  <w:num w:numId="10">
    <w:abstractNumId w:val="27"/>
  </w:num>
  <w:num w:numId="11">
    <w:abstractNumId w:val="60"/>
  </w:num>
  <w:num w:numId="12">
    <w:abstractNumId w:val="14"/>
  </w:num>
  <w:num w:numId="13">
    <w:abstractNumId w:val="51"/>
  </w:num>
  <w:num w:numId="14">
    <w:abstractNumId w:val="45"/>
  </w:num>
  <w:num w:numId="15">
    <w:abstractNumId w:val="37"/>
  </w:num>
  <w:num w:numId="16">
    <w:abstractNumId w:val="25"/>
  </w:num>
  <w:num w:numId="17">
    <w:abstractNumId w:val="6"/>
  </w:num>
  <w:num w:numId="18">
    <w:abstractNumId w:val="34"/>
  </w:num>
  <w:num w:numId="19">
    <w:abstractNumId w:val="56"/>
  </w:num>
  <w:num w:numId="20">
    <w:abstractNumId w:val="41"/>
  </w:num>
  <w:num w:numId="21">
    <w:abstractNumId w:val="11"/>
  </w:num>
  <w:num w:numId="22">
    <w:abstractNumId w:val="12"/>
  </w:num>
  <w:num w:numId="23">
    <w:abstractNumId w:val="20"/>
  </w:num>
  <w:num w:numId="24">
    <w:abstractNumId w:val="43"/>
  </w:num>
  <w:num w:numId="25">
    <w:abstractNumId w:val="24"/>
  </w:num>
  <w:num w:numId="26">
    <w:abstractNumId w:val="4"/>
  </w:num>
  <w:num w:numId="27">
    <w:abstractNumId w:val="40"/>
  </w:num>
  <w:num w:numId="28">
    <w:abstractNumId w:val="31"/>
  </w:num>
  <w:num w:numId="29">
    <w:abstractNumId w:val="22"/>
  </w:num>
  <w:num w:numId="30">
    <w:abstractNumId w:val="39"/>
  </w:num>
  <w:num w:numId="31">
    <w:abstractNumId w:val="23"/>
  </w:num>
  <w:num w:numId="32">
    <w:abstractNumId w:val="26"/>
  </w:num>
  <w:num w:numId="33">
    <w:abstractNumId w:val="33"/>
  </w:num>
  <w:num w:numId="34">
    <w:abstractNumId w:val="16"/>
  </w:num>
  <w:num w:numId="35">
    <w:abstractNumId w:val="1"/>
  </w:num>
  <w:num w:numId="36">
    <w:abstractNumId w:val="8"/>
  </w:num>
  <w:num w:numId="37">
    <w:abstractNumId w:val="59"/>
  </w:num>
  <w:num w:numId="38">
    <w:abstractNumId w:val="44"/>
  </w:num>
  <w:num w:numId="39">
    <w:abstractNumId w:val="48"/>
  </w:num>
  <w:num w:numId="40">
    <w:abstractNumId w:val="36"/>
  </w:num>
  <w:num w:numId="41">
    <w:abstractNumId w:val="30"/>
  </w:num>
  <w:num w:numId="42">
    <w:abstractNumId w:val="46"/>
  </w:num>
  <w:num w:numId="43">
    <w:abstractNumId w:val="38"/>
  </w:num>
  <w:num w:numId="44">
    <w:abstractNumId w:val="62"/>
  </w:num>
  <w:num w:numId="45">
    <w:abstractNumId w:val="35"/>
  </w:num>
  <w:num w:numId="46">
    <w:abstractNumId w:val="2"/>
  </w:num>
  <w:num w:numId="47">
    <w:abstractNumId w:val="9"/>
  </w:num>
  <w:num w:numId="48">
    <w:abstractNumId w:val="52"/>
  </w:num>
  <w:num w:numId="49">
    <w:abstractNumId w:val="58"/>
  </w:num>
  <w:num w:numId="50">
    <w:abstractNumId w:val="28"/>
  </w:num>
  <w:num w:numId="51">
    <w:abstractNumId w:val="17"/>
  </w:num>
  <w:num w:numId="52">
    <w:abstractNumId w:val="13"/>
  </w:num>
  <w:num w:numId="53">
    <w:abstractNumId w:val="49"/>
  </w:num>
  <w:num w:numId="54">
    <w:abstractNumId w:val="19"/>
  </w:num>
  <w:num w:numId="55">
    <w:abstractNumId w:val="53"/>
  </w:num>
  <w:num w:numId="56">
    <w:abstractNumId w:val="54"/>
  </w:num>
  <w:num w:numId="57">
    <w:abstractNumId w:val="15"/>
  </w:num>
  <w:num w:numId="58">
    <w:abstractNumId w:val="21"/>
  </w:num>
  <w:num w:numId="59">
    <w:abstractNumId w:val="10"/>
  </w:num>
  <w:num w:numId="60">
    <w:abstractNumId w:val="55"/>
  </w:num>
  <w:num w:numId="61">
    <w:abstractNumId w:val="3"/>
  </w:num>
  <w:num w:numId="62">
    <w:abstractNumId w:val="29"/>
  </w:num>
  <w:num w:numId="63">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0126"/>
    <w:rsid w:val="0004172C"/>
    <w:rsid w:val="00055807"/>
    <w:rsid w:val="00083F64"/>
    <w:rsid w:val="000F3BA5"/>
    <w:rsid w:val="00104141"/>
    <w:rsid w:val="001050E7"/>
    <w:rsid w:val="001307AD"/>
    <w:rsid w:val="00130B7F"/>
    <w:rsid w:val="0013162C"/>
    <w:rsid w:val="0015523C"/>
    <w:rsid w:val="001837AC"/>
    <w:rsid w:val="001C5BCF"/>
    <w:rsid w:val="001F544D"/>
    <w:rsid w:val="002120B5"/>
    <w:rsid w:val="002A077C"/>
    <w:rsid w:val="0030492E"/>
    <w:rsid w:val="0033123F"/>
    <w:rsid w:val="0034267D"/>
    <w:rsid w:val="00362679"/>
    <w:rsid w:val="003A1F67"/>
    <w:rsid w:val="003C0400"/>
    <w:rsid w:val="003D660B"/>
    <w:rsid w:val="003F7AD8"/>
    <w:rsid w:val="00415BCC"/>
    <w:rsid w:val="00435B5A"/>
    <w:rsid w:val="00471165"/>
    <w:rsid w:val="004B0649"/>
    <w:rsid w:val="004B4920"/>
    <w:rsid w:val="004B5D35"/>
    <w:rsid w:val="004C1E51"/>
    <w:rsid w:val="005042B5"/>
    <w:rsid w:val="00510D5A"/>
    <w:rsid w:val="00511901"/>
    <w:rsid w:val="00533A9B"/>
    <w:rsid w:val="00567EA6"/>
    <w:rsid w:val="005C53A3"/>
    <w:rsid w:val="005D7564"/>
    <w:rsid w:val="005F4474"/>
    <w:rsid w:val="00601BDE"/>
    <w:rsid w:val="00601F8A"/>
    <w:rsid w:val="006063E5"/>
    <w:rsid w:val="006134BF"/>
    <w:rsid w:val="00636F82"/>
    <w:rsid w:val="00671671"/>
    <w:rsid w:val="006A5878"/>
    <w:rsid w:val="006A6B37"/>
    <w:rsid w:val="006B2E06"/>
    <w:rsid w:val="006E27BF"/>
    <w:rsid w:val="00700632"/>
    <w:rsid w:val="00724548"/>
    <w:rsid w:val="007337BF"/>
    <w:rsid w:val="00747950"/>
    <w:rsid w:val="007529DA"/>
    <w:rsid w:val="007B7C5A"/>
    <w:rsid w:val="007F0921"/>
    <w:rsid w:val="00805AFA"/>
    <w:rsid w:val="00815297"/>
    <w:rsid w:val="00816091"/>
    <w:rsid w:val="008315BB"/>
    <w:rsid w:val="008320E0"/>
    <w:rsid w:val="00884A3E"/>
    <w:rsid w:val="008A3007"/>
    <w:rsid w:val="008B4EFB"/>
    <w:rsid w:val="008C3514"/>
    <w:rsid w:val="00932A7E"/>
    <w:rsid w:val="0095512B"/>
    <w:rsid w:val="00957D42"/>
    <w:rsid w:val="00976038"/>
    <w:rsid w:val="0098328A"/>
    <w:rsid w:val="009903FD"/>
    <w:rsid w:val="009B51FD"/>
    <w:rsid w:val="009D411D"/>
    <w:rsid w:val="009E7B95"/>
    <w:rsid w:val="009F1CED"/>
    <w:rsid w:val="00A217AE"/>
    <w:rsid w:val="00A2229D"/>
    <w:rsid w:val="00A52787"/>
    <w:rsid w:val="00A71C53"/>
    <w:rsid w:val="00A7776E"/>
    <w:rsid w:val="00A97B7C"/>
    <w:rsid w:val="00AE1C20"/>
    <w:rsid w:val="00AE6146"/>
    <w:rsid w:val="00AF3BE1"/>
    <w:rsid w:val="00B00C9E"/>
    <w:rsid w:val="00B01557"/>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77EFA"/>
    <w:rsid w:val="00C840F4"/>
    <w:rsid w:val="00D06F13"/>
    <w:rsid w:val="00D17E3D"/>
    <w:rsid w:val="00D221F4"/>
    <w:rsid w:val="00D45DD6"/>
    <w:rsid w:val="00D53445"/>
    <w:rsid w:val="00D566B6"/>
    <w:rsid w:val="00DA44EF"/>
    <w:rsid w:val="00DF571B"/>
    <w:rsid w:val="00E17D88"/>
    <w:rsid w:val="00E3003A"/>
    <w:rsid w:val="00E40044"/>
    <w:rsid w:val="00E420E0"/>
    <w:rsid w:val="00F15F80"/>
    <w:rsid w:val="00F76D98"/>
    <w:rsid w:val="00F85886"/>
    <w:rsid w:val="00F915DB"/>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www.nro.net/news/request-for-proposals-for-consulting-services-independent-review-of-the-icann-address-supporting-organisation" TargetMode="External"/><Relationship Id="rId102" Type="http://schemas.openxmlformats.org/officeDocument/2006/relationships/hyperlink" Target="https://www.icann.org/resources/reviews/org/aso" TargetMode="External"/><Relationship Id="rId103" Type="http://schemas.openxmlformats.org/officeDocument/2006/relationships/hyperlink" Target="https://www.nro.net/wp-content/uploads/ASO-Review-Report-2012.pdf" TargetMode="External"/><Relationship Id="rId104" Type="http://schemas.openxmlformats.org/officeDocument/2006/relationships/hyperlink" Target="http://www.bizconst.org/assets/docs/Charter/bc%20charter%20v3%200-final%20draft%20v5.pdf" TargetMode="External"/><Relationship Id="rId105" Type="http://schemas.openxmlformats.org/officeDocument/2006/relationships/hyperlink" Target="http://icannregistrars.org" TargetMode="External"/><Relationship Id="rId106" Type="http://schemas.openxmlformats.org/officeDocument/2006/relationships/hyperlink" Target="http://icannregistrars.org/charter/" TargetMode="External"/><Relationship Id="rId10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8" Type="http://schemas.openxmlformats.org/officeDocument/2006/relationships/footer" Target="footer1.xml"/><Relationship Id="rId109" Type="http://schemas.openxmlformats.org/officeDocument/2006/relationships/fontTable" Target="fontTable.xm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www.icann.org/resources/pages/charter-2013-07-14-en"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groups/ssac/charter" TargetMode="External"/><Relationship Id="rId71" Type="http://schemas.openxmlformats.org/officeDocument/2006/relationships/hyperlink" Target="https://www.icann.org/en/system/files/files/operational-procedures-20jun16-en.pdf" TargetMode="External"/><Relationship Id="rId72" Type="http://schemas.openxmlformats.org/officeDocument/2006/relationships/hyperlink" Target="https://www.icann.org/en/system/files/files/operational-procedures-20jun16-en.pdf" TargetMode="External"/><Relationship Id="rId73" Type="http://schemas.openxmlformats.org/officeDocument/2006/relationships/hyperlink" Target="https://www.icann.org/resources/pages/ssac-biographies-2016-12-15-en" TargetMode="External"/><Relationship Id="rId74" Type="http://schemas.openxmlformats.org/officeDocument/2006/relationships/hyperlink" Target="https://www.icann.org/groups/ssac" TargetMode="External"/><Relationship Id="rId75" Type="http://schemas.openxmlformats.org/officeDocument/2006/relationships/hyperlink" Target="https://www.icann.org/groups/ssac/documents" TargetMode="External"/><Relationship Id="rId76" Type="http://schemas.openxmlformats.org/officeDocument/2006/relationships/hyperlink" Target="https://www.icann.org/resources/pages/ssac-correspondence-2016-01-08-en" TargetMode="External"/><Relationship Id="rId77" Type="http://schemas.openxmlformats.org/officeDocument/2006/relationships/hyperlink" Target="https://www.nro.net/about-the-nro/rir-accountability" TargetMode="External"/><Relationship Id="rId78" Type="http://schemas.openxmlformats.org/officeDocument/2006/relationships/hyperlink" Target="https://aso.icann.org/about-the-" TargetMode="External"/><Relationship Id="rId79" Type="http://schemas.openxmlformats.org/officeDocument/2006/relationships/hyperlink" Target="https://aso.icann.org/contact/aso-mailinglists/" TargetMode="External"/><Relationship Id="rId110" Type="http://schemas.openxmlformats.org/officeDocument/2006/relationships/theme" Target="theme/theme1.xml"/><Relationship Id="rId90" Type="http://schemas.openxmlformats.org/officeDocument/2006/relationships/hyperlink" Target="https://community.icann.org/x/GgybAw" TargetMode="External"/><Relationship Id="rId91" Type="http://schemas.openxmlformats.org/officeDocument/2006/relationships/hyperlink" Target="https://community.icann.org/x/GgybAw7" TargetMode="External"/><Relationship Id="rId92" Type="http://schemas.openxmlformats.org/officeDocument/2006/relationships/hyperlink" Target="https://community.icann.org/x/4hK4Aw" TargetMode="External"/><Relationship Id="rId93" Type="http://schemas.openxmlformats.org/officeDocument/2006/relationships/hyperlink" Target="https://ipc.memberclicks.net/assets/FactSheets/ipc_onepager_2016.pdf" TargetMode="External"/><Relationship Id="rId94" Type="http://schemas.openxmlformats.org/officeDocument/2006/relationships/hyperlink" Target="https://community.icann.org/x/2w2OAw" TargetMode="External"/><Relationship Id="rId95" Type="http://schemas.openxmlformats.org/officeDocument/2006/relationships/hyperlink" Target="http://www.ispcp.info/ispcp-bulletin" TargetMode="External"/><Relationship Id="rId96" Type="http://schemas.openxmlformats.org/officeDocument/2006/relationships/hyperlink" Target="http://icannregistrars.org" TargetMode="External"/><Relationship Id="rId97" Type="http://schemas.openxmlformats.org/officeDocument/2006/relationships/hyperlink" Target="http://icannregistrars.org/charter/" TargetMode="External"/><Relationship Id="rId98" Type="http://schemas.openxmlformats.org/officeDocument/2006/relationships/hyperlink" Target="https://www.icann.org/resources/pages/charter-2013-07-14-en" TargetMode="External"/><Relationship Id="rId99" Type="http://schemas.openxmlformats.org/officeDocument/2006/relationships/hyperlink" Target="https://aso.icann.org/documents/memorandums-of-understanding/memorandum-of-understanding/" TargetMode="Externa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s://community.icann.org/display/NPOCC/Charter" TargetMode="External"/><Relationship Id="rId63" Type="http://schemas.openxmlformats.org/officeDocument/2006/relationships/hyperlink" Target="https://community.icann.org/display/NPOCC/NPOC+Charter+Review" TargetMode="External"/><Relationship Id="rId64" Type="http://schemas.openxmlformats.org/officeDocument/2006/relationships/hyperlink" Target="http://www.npoc.org/members/memberlist.php" TargetMode="External"/><Relationship Id="rId65" Type="http://schemas.openxmlformats.org/officeDocument/2006/relationships/hyperlink" Target="http://gnso.icann.org/en/about/stakeholders-constituencies/ncsg/npoc" TargetMode="External"/><Relationship Id="rId66" Type="http://schemas.openxmlformats.org/officeDocument/2006/relationships/hyperlink" Target="https://mm.icann.org/mailman/listinfo/npoc-discuss" TargetMode="External"/><Relationship Id="rId67" Type="http://schemas.openxmlformats.org/officeDocument/2006/relationships/hyperlink" Target="http://icannregistrars.org" TargetMode="External"/><Relationship Id="rId68" Type="http://schemas.openxmlformats.org/officeDocument/2006/relationships/hyperlink" Target="http://icannregistrars.org/charter/" TargetMode="External"/><Relationship Id="rId69" Type="http://schemas.openxmlformats.org/officeDocument/2006/relationships/hyperlink" Target="https://www.icann.org/resources/pages/charter-2013-07-14-en" TargetMode="External"/><Relationship Id="rId100" Type="http://schemas.openxmlformats.org/officeDocument/2006/relationships/hyperlink" Target="https://www.icann.org/resources/pages/bylaws-" TargetMode="External"/><Relationship Id="rId80" Type="http://schemas.openxmlformats.org/officeDocument/2006/relationships/hyperlink" Target="http://www.bizconst.org/charter" TargetMode="External"/><Relationship Id="rId81" Type="http://schemas.openxmlformats.org/officeDocument/2006/relationships/hyperlink" Target="mailto:info-bc@icann.org)" TargetMode="External"/><Relationship Id="rId82" Type="http://schemas.openxmlformats.org/officeDocument/2006/relationships/hyperlink" Target="http://www.bizconst.org/bc-membership-list" TargetMode="External"/><Relationship Id="rId83" Type="http://schemas.openxmlformats.org/officeDocument/2006/relationships/hyperlink" Target="http://www.ncuc.org/governance/bylaws/" TargetMode="External"/><Relationship Id="rId84" Type="http://schemas.openxmlformats.org/officeDocument/2006/relationships/hyperlink" Target="http://icannregistrars.org" TargetMode="External"/><Relationship Id="rId85" Type="http://schemas.openxmlformats.org/officeDocument/2006/relationships/hyperlink" Target="http://icannregistrars.org/charter/" TargetMode="External"/><Relationship Id="rId86" Type="http://schemas.openxmlformats.org/officeDocument/2006/relationships/hyperlink" Target="https://www.icann.org/resources/pages/charter-2013-07-14-en" TargetMode="External"/><Relationship Id="rId87" Type="http://schemas.openxmlformats.org/officeDocument/2006/relationships/hyperlink" Target="https://www.ripe.net/participate/internet-governance/internet-" TargetMode="External"/><Relationship Id="rId88" Type="http://schemas.openxmlformats.org/officeDocument/2006/relationships/hyperlink" Target="http://www.bizconst.org/newsletter" TargetMode="External"/><Relationship Id="rId89" Type="http://schemas.openxmlformats.org/officeDocument/2006/relationships/hyperlink" Target="https://community.icann.org/x/zw2O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28</Pages>
  <Words>13997</Words>
  <Characters>78387</Characters>
  <Application>Microsoft Macintosh Word</Application>
  <DocSecurity>0</DocSecurity>
  <Lines>1285</Lines>
  <Paragraphs>699</Paragraphs>
  <ScaleCrop>false</ScaleCrop>
  <Company>NetChoice</Company>
  <LinksUpToDate>false</LinksUpToDate>
  <CharactersWithSpaces>91685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11</cp:revision>
  <cp:lastPrinted>2017-02-20T18:40:00Z</cp:lastPrinted>
  <dcterms:created xsi:type="dcterms:W3CDTF">2017-02-23T05:22:00Z</dcterms:created>
  <dcterms:modified xsi:type="dcterms:W3CDTF">2017-02-25T00:40:00Z</dcterms:modified>
</cp:coreProperties>
</file>