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90" w:rsidRPr="00947890" w:rsidRDefault="00947890" w:rsidP="00947890">
      <w:pPr>
        <w:spacing w:before="60"/>
        <w:jc w:val="center"/>
        <w:rPr>
          <w:rFonts w:ascii="Times" w:hAnsi="Times" w:cs="Times New Roman"/>
          <w:sz w:val="20"/>
          <w:szCs w:val="20"/>
        </w:rPr>
      </w:pPr>
      <w:r w:rsidRPr="00947890">
        <w:rPr>
          <w:rFonts w:ascii="Calibri" w:hAnsi="Calibri" w:cs="Times New Roman"/>
          <w:b/>
          <w:bCs/>
          <w:color w:val="000000"/>
          <w:sz w:val="22"/>
          <w:szCs w:val="22"/>
        </w:rPr>
        <w:t>Existing requirements for reviews of SO/AC Accountability</w:t>
      </w:r>
    </w:p>
    <w:tbl>
      <w:tblPr>
        <w:tblW w:w="0" w:type="auto"/>
        <w:tblCellMar>
          <w:top w:w="15" w:type="dxa"/>
          <w:left w:w="15" w:type="dxa"/>
          <w:bottom w:w="15" w:type="dxa"/>
          <w:right w:w="15" w:type="dxa"/>
        </w:tblCellMar>
        <w:tblLook w:val="04A0" w:firstRow="1" w:lastRow="0" w:firstColumn="1" w:lastColumn="0" w:noHBand="0" w:noVBand="1"/>
      </w:tblPr>
      <w:tblGrid>
        <w:gridCol w:w="734"/>
        <w:gridCol w:w="3163"/>
        <w:gridCol w:w="4613"/>
      </w:tblGrid>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SO/AC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Community Represented and role within ICANN (per bylaws)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SO/AC Accountability Mechanisms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All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proofErr w:type="spellStart"/>
            <w:r w:rsidRPr="00947890">
              <w:rPr>
                <w:rFonts w:ascii="Calibri" w:hAnsi="Calibri" w:cs="Times New Roman"/>
                <w:color w:val="000000"/>
                <w:sz w:val="20"/>
                <w:szCs w:val="20"/>
              </w:rPr>
              <w:t>AoC</w:t>
            </w:r>
            <w:proofErr w:type="spellEnd"/>
            <w:r w:rsidRPr="00947890">
              <w:rPr>
                <w:rFonts w:ascii="Calibri" w:hAnsi="Calibri" w:cs="Times New Roman"/>
                <w:color w:val="000000"/>
                <w:sz w:val="20"/>
                <w:szCs w:val="20"/>
              </w:rPr>
              <w:t xml:space="preserve"> [2009] includes “(d) assessing the extent to which ICANN's decisions are embraced, supported and accepted by the public and the Internet community”</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Bylaws Section 4.4 requires the Board to cause an independent, periodic review (every 5 years) of each SO/AC, except that the GAC “shall provide its own review mechanisms”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ALAC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w:t>
            </w:r>
            <w:proofErr w:type="gramStart"/>
            <w:r w:rsidRPr="00947890">
              <w:rPr>
                <w:rFonts w:ascii="Calibri" w:hAnsi="Calibri" w:cs="Times New Roman"/>
                <w:color w:val="000000"/>
                <w:sz w:val="20"/>
                <w:szCs w:val="20"/>
              </w:rPr>
              <w:t>the</w:t>
            </w:r>
            <w:proofErr w:type="gramEnd"/>
            <w:r w:rsidRPr="00947890">
              <w:rPr>
                <w:rFonts w:ascii="Calibri" w:hAnsi="Calibri" w:cs="Times New Roman"/>
                <w:color w:val="000000"/>
                <w:sz w:val="20"/>
                <w:szCs w:val="20"/>
              </w:rPr>
              <w:t xml:space="preserve"> primary organizational home within ICANN for individual internet users”</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w:t>
            </w:r>
            <w:proofErr w:type="gramStart"/>
            <w:r w:rsidRPr="00947890">
              <w:rPr>
                <w:rFonts w:ascii="Calibri" w:hAnsi="Calibri" w:cs="Times New Roman"/>
                <w:color w:val="000000"/>
                <w:sz w:val="20"/>
                <w:szCs w:val="20"/>
              </w:rPr>
              <w:t>to</w:t>
            </w:r>
            <w:proofErr w:type="gramEnd"/>
            <w:r w:rsidRPr="00947890">
              <w:rPr>
                <w:rFonts w:ascii="Calibri" w:hAnsi="Calibri" w:cs="Times New Roman"/>
                <w:color w:val="000000"/>
                <w:sz w:val="20"/>
                <w:szCs w:val="20"/>
              </w:rPr>
              <w:t xml:space="preserve"> consider and provide advice on the activities of ICANN, insofar as they relate to the interests of individual Internet users”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Every 5 years, the Bylaws require a review to determine (</w:t>
            </w:r>
            <w:proofErr w:type="spellStart"/>
            <w:r w:rsidRPr="00947890">
              <w:rPr>
                <w:rFonts w:ascii="Calibri" w:hAnsi="Calibri" w:cs="Times New Roman"/>
                <w:color w:val="000000"/>
                <w:sz w:val="20"/>
                <w:szCs w:val="20"/>
              </w:rPr>
              <w:t>i</w:t>
            </w:r>
            <w:proofErr w:type="spellEnd"/>
            <w:r w:rsidRPr="00947890">
              <w:rPr>
                <w:rFonts w:ascii="Calibri" w:hAnsi="Calibri" w:cs="Times New Roman"/>
                <w:color w:val="000000"/>
                <w:sz w:val="20"/>
                <w:szCs w:val="20"/>
              </w:rPr>
              <w:t xml:space="preserve">) whether ALAC has a continuing purpose in the ICANN structure, (ii) if so, whether any change in structure or operations is desirable to improve its </w:t>
            </w:r>
            <w:r w:rsidRPr="00947890">
              <w:rPr>
                <w:rFonts w:ascii="Calibri" w:hAnsi="Calibri" w:cs="Times New Roman"/>
                <w:color w:val="000000"/>
                <w:sz w:val="20"/>
                <w:szCs w:val="20"/>
                <w:shd w:val="clear" w:color="auto" w:fill="FFFF00"/>
              </w:rPr>
              <w:t>effectiveness</w:t>
            </w:r>
            <w:r w:rsidRPr="00947890">
              <w:rPr>
                <w:rFonts w:ascii="Calibri" w:hAnsi="Calibri" w:cs="Times New Roman"/>
                <w:color w:val="000000"/>
                <w:sz w:val="20"/>
                <w:szCs w:val="20"/>
              </w:rPr>
              <w:t xml:space="preserve"> and (iii) whether ALAC is </w:t>
            </w:r>
            <w:r w:rsidRPr="00947890">
              <w:rPr>
                <w:rFonts w:ascii="Calibri" w:hAnsi="Calibri" w:cs="Times New Roman"/>
                <w:color w:val="000000"/>
                <w:sz w:val="20"/>
                <w:szCs w:val="20"/>
                <w:shd w:val="clear" w:color="auto" w:fill="FFFF00"/>
              </w:rPr>
              <w:t>accountable</w:t>
            </w:r>
            <w:r w:rsidRPr="00947890">
              <w:rPr>
                <w:rFonts w:ascii="Calibri" w:hAnsi="Calibri" w:cs="Times New Roman"/>
                <w:color w:val="000000"/>
                <w:sz w:val="20"/>
                <w:szCs w:val="20"/>
              </w:rPr>
              <w:t xml:space="preserve"> to its constituencies, stakeholder groups, organizations and other stakeholders.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ASO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“ASO shall be the entity established by the Memorandum of Understanding [2004] between ICANN and the Number Resource Organization (“NRO”), an organization of the existing RIRs”</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“ASO shall advise the Board with respect to policy issues relating to the operation, assignment, and management of Internet addresses”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Every 5 years, the Bylaws require a review to determine (</w:t>
            </w:r>
            <w:proofErr w:type="spellStart"/>
            <w:r w:rsidRPr="00947890">
              <w:rPr>
                <w:rFonts w:ascii="Calibri" w:hAnsi="Calibri" w:cs="Times New Roman"/>
                <w:color w:val="000000"/>
                <w:sz w:val="20"/>
                <w:szCs w:val="20"/>
              </w:rPr>
              <w:t>i</w:t>
            </w:r>
            <w:proofErr w:type="spellEnd"/>
            <w:r w:rsidRPr="00947890">
              <w:rPr>
                <w:rFonts w:ascii="Calibri" w:hAnsi="Calibri" w:cs="Times New Roman"/>
                <w:color w:val="000000"/>
                <w:sz w:val="20"/>
                <w:szCs w:val="20"/>
              </w:rPr>
              <w:t xml:space="preserve">) whether ASO has a continuing purpose in the ICANN structure, (ii) if so, whether any change in structure or operations is desirable to improve its </w:t>
            </w:r>
            <w:r w:rsidRPr="00947890">
              <w:rPr>
                <w:rFonts w:ascii="Calibri" w:hAnsi="Calibri" w:cs="Times New Roman"/>
                <w:color w:val="000000"/>
                <w:sz w:val="20"/>
                <w:szCs w:val="20"/>
                <w:shd w:val="clear" w:color="auto" w:fill="FFFF00"/>
              </w:rPr>
              <w:t>effectiveness</w:t>
            </w:r>
            <w:r w:rsidRPr="00947890">
              <w:rPr>
                <w:rFonts w:ascii="Calibri" w:hAnsi="Calibri" w:cs="Times New Roman"/>
                <w:color w:val="000000"/>
                <w:sz w:val="20"/>
                <w:szCs w:val="20"/>
              </w:rPr>
              <w:t xml:space="preserve"> and (iii) whether ASO is </w:t>
            </w:r>
            <w:r w:rsidRPr="00947890">
              <w:rPr>
                <w:rFonts w:ascii="Calibri" w:hAnsi="Calibri" w:cs="Times New Roman"/>
                <w:color w:val="000000"/>
                <w:sz w:val="20"/>
                <w:szCs w:val="20"/>
                <w:shd w:val="clear" w:color="auto" w:fill="FFFF00"/>
              </w:rPr>
              <w:t>accountable</w:t>
            </w:r>
            <w:r w:rsidRPr="00947890">
              <w:rPr>
                <w:rFonts w:ascii="Calibri" w:hAnsi="Calibri" w:cs="Times New Roman"/>
                <w:color w:val="000000"/>
                <w:sz w:val="20"/>
                <w:szCs w:val="20"/>
              </w:rPr>
              <w:t xml:space="preserve"> to its constituencies, stakeholder groups, organizations and other stakeholders.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proofErr w:type="spellStart"/>
            <w:proofErr w:type="gramStart"/>
            <w:r w:rsidRPr="00947890">
              <w:rPr>
                <w:rFonts w:ascii="Calibri" w:hAnsi="Calibri" w:cs="Times New Roman"/>
                <w:color w:val="000000"/>
                <w:sz w:val="20"/>
                <w:szCs w:val="20"/>
              </w:rPr>
              <w:t>ccNSO</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proofErr w:type="spellStart"/>
            <w:proofErr w:type="gramStart"/>
            <w:r w:rsidRPr="00947890">
              <w:rPr>
                <w:rFonts w:ascii="Calibri" w:hAnsi="Calibri" w:cs="Times New Roman"/>
                <w:color w:val="000000"/>
                <w:sz w:val="20"/>
                <w:szCs w:val="20"/>
              </w:rPr>
              <w:t>ccTLD</w:t>
            </w:r>
            <w:proofErr w:type="spellEnd"/>
            <w:proofErr w:type="gramEnd"/>
            <w:r w:rsidRPr="00947890">
              <w:rPr>
                <w:rFonts w:ascii="Calibri" w:hAnsi="Calibri" w:cs="Times New Roman"/>
                <w:color w:val="000000"/>
                <w:sz w:val="20"/>
                <w:szCs w:val="20"/>
              </w:rPr>
              <w:t xml:space="preserve"> managers that have agreed to be members of </w:t>
            </w:r>
            <w:proofErr w:type="spellStart"/>
            <w:r w:rsidRPr="00947890">
              <w:rPr>
                <w:rFonts w:ascii="Calibri" w:hAnsi="Calibri" w:cs="Times New Roman"/>
                <w:color w:val="000000"/>
                <w:sz w:val="20"/>
                <w:szCs w:val="20"/>
              </w:rPr>
              <w:t>ccNSO</w:t>
            </w:r>
            <w:proofErr w:type="spellEnd"/>
            <w:r w:rsidRPr="00947890">
              <w:rPr>
                <w:rFonts w:ascii="Calibri" w:hAnsi="Calibri" w:cs="Times New Roman"/>
                <w:color w:val="000000"/>
                <w:sz w:val="20"/>
                <w:szCs w:val="20"/>
              </w:rPr>
              <w:t>.</w:t>
            </w:r>
          </w:p>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 xml:space="preserve">(a) </w:t>
            </w:r>
            <w:proofErr w:type="gramStart"/>
            <w:r w:rsidRPr="00947890">
              <w:rPr>
                <w:rFonts w:ascii="Calibri" w:hAnsi="Calibri" w:cs="Times New Roman"/>
                <w:color w:val="000000"/>
                <w:sz w:val="20"/>
                <w:szCs w:val="20"/>
              </w:rPr>
              <w:t>develop</w:t>
            </w:r>
            <w:proofErr w:type="gramEnd"/>
            <w:r w:rsidRPr="00947890">
              <w:rPr>
                <w:rFonts w:ascii="Calibri" w:hAnsi="Calibri" w:cs="Times New Roman"/>
                <w:color w:val="000000"/>
                <w:sz w:val="20"/>
                <w:szCs w:val="20"/>
              </w:rPr>
              <w:t xml:space="preserve"> and recommend to the Board global policies relating to country-code top-level domains;</w:t>
            </w:r>
          </w:p>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 xml:space="preserve">(b) Nurture consensus across the </w:t>
            </w:r>
            <w:proofErr w:type="spellStart"/>
            <w:r w:rsidRPr="00947890">
              <w:rPr>
                <w:rFonts w:ascii="Calibri" w:hAnsi="Calibri" w:cs="Times New Roman"/>
                <w:color w:val="000000"/>
                <w:sz w:val="20"/>
                <w:szCs w:val="20"/>
              </w:rPr>
              <w:t>ccNSO’s</w:t>
            </w:r>
            <w:proofErr w:type="spellEnd"/>
            <w:r w:rsidRPr="00947890">
              <w:rPr>
                <w:rFonts w:ascii="Calibri" w:hAnsi="Calibri" w:cs="Times New Roman"/>
                <w:color w:val="000000"/>
                <w:sz w:val="20"/>
                <w:szCs w:val="20"/>
              </w:rPr>
              <w:t xml:space="preserve"> community, including the name-related activities of </w:t>
            </w:r>
            <w:proofErr w:type="spellStart"/>
            <w:r w:rsidRPr="00947890">
              <w:rPr>
                <w:rFonts w:ascii="Calibri" w:hAnsi="Calibri" w:cs="Times New Roman"/>
                <w:color w:val="000000"/>
                <w:sz w:val="20"/>
                <w:szCs w:val="20"/>
              </w:rPr>
              <w:t>ccTLDs</w:t>
            </w:r>
            <w:proofErr w:type="spellEnd"/>
            <w:r w:rsidRPr="00947890">
              <w:rPr>
                <w:rFonts w:ascii="Calibri" w:hAnsi="Calibri" w:cs="Times New Roman"/>
                <w:color w:val="000000"/>
                <w:sz w:val="20"/>
                <w:szCs w:val="20"/>
              </w:rPr>
              <w:t>;</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(c) Coordinate with other ICANN Supporting Organizations, committees, and constituencies under ICANN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Every 5 years, the Bylaws require a review to determine (</w:t>
            </w:r>
            <w:proofErr w:type="spellStart"/>
            <w:r w:rsidRPr="00947890">
              <w:rPr>
                <w:rFonts w:ascii="Calibri" w:hAnsi="Calibri" w:cs="Times New Roman"/>
                <w:color w:val="000000"/>
                <w:sz w:val="20"/>
                <w:szCs w:val="20"/>
              </w:rPr>
              <w:t>i</w:t>
            </w:r>
            <w:proofErr w:type="spellEnd"/>
            <w:r w:rsidRPr="00947890">
              <w:rPr>
                <w:rFonts w:ascii="Calibri" w:hAnsi="Calibri" w:cs="Times New Roman"/>
                <w:color w:val="000000"/>
                <w:sz w:val="20"/>
                <w:szCs w:val="20"/>
              </w:rPr>
              <w:t xml:space="preserve">) whether CCNSO has a continuing purpose in the ICANN structure, (ii) if so, whether any change in structure or operations is desirable to improve its </w:t>
            </w:r>
            <w:r w:rsidRPr="00947890">
              <w:rPr>
                <w:rFonts w:ascii="Calibri" w:hAnsi="Calibri" w:cs="Times New Roman"/>
                <w:color w:val="000000"/>
                <w:sz w:val="20"/>
                <w:szCs w:val="20"/>
                <w:shd w:val="clear" w:color="auto" w:fill="FFFF00"/>
              </w:rPr>
              <w:t>effectiveness</w:t>
            </w:r>
            <w:r w:rsidRPr="00947890">
              <w:rPr>
                <w:rFonts w:ascii="Calibri" w:hAnsi="Calibri" w:cs="Times New Roman"/>
                <w:color w:val="000000"/>
                <w:sz w:val="20"/>
                <w:szCs w:val="20"/>
              </w:rPr>
              <w:t xml:space="preserve"> and (iii) whether CCNSO is </w:t>
            </w:r>
            <w:r w:rsidRPr="00947890">
              <w:rPr>
                <w:rFonts w:ascii="Calibri" w:hAnsi="Calibri" w:cs="Times New Roman"/>
                <w:color w:val="000000"/>
                <w:sz w:val="20"/>
                <w:szCs w:val="20"/>
                <w:shd w:val="clear" w:color="auto" w:fill="FFFF00"/>
              </w:rPr>
              <w:t>accountable</w:t>
            </w:r>
            <w:r w:rsidRPr="00947890">
              <w:rPr>
                <w:rFonts w:ascii="Calibri" w:hAnsi="Calibri" w:cs="Times New Roman"/>
                <w:color w:val="000000"/>
                <w:sz w:val="20"/>
                <w:szCs w:val="20"/>
              </w:rPr>
              <w:t xml:space="preserve"> to its constituencies, stakeholder groups, organizations and other stakeholders.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GAC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Open to all national governments (and Distinct Economies upon invitation).</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w:t>
            </w:r>
            <w:proofErr w:type="gramStart"/>
            <w:r w:rsidRPr="00947890">
              <w:rPr>
                <w:rFonts w:ascii="Calibri" w:hAnsi="Calibri" w:cs="Times New Roman"/>
                <w:color w:val="000000"/>
                <w:sz w:val="20"/>
                <w:szCs w:val="20"/>
              </w:rPr>
              <w:t>concerns</w:t>
            </w:r>
            <w:proofErr w:type="gramEnd"/>
            <w:r w:rsidRPr="00947890">
              <w:rPr>
                <w:rFonts w:ascii="Calibri" w:hAnsi="Calibri" w:cs="Times New Roman"/>
                <w:color w:val="000000"/>
                <w:sz w:val="20"/>
                <w:szCs w:val="20"/>
              </w:rPr>
              <w:t xml:space="preserve"> of governments, particularly matters where there may be an interaction between ICANN’s policies and various laws and international agreements or where they may affect public policy </w:t>
            </w:r>
            <w:r w:rsidRPr="00947890">
              <w:rPr>
                <w:rFonts w:ascii="Calibri" w:hAnsi="Calibri" w:cs="Times New Roman"/>
                <w:color w:val="000000"/>
                <w:sz w:val="20"/>
                <w:szCs w:val="20"/>
              </w:rPr>
              <w:lastRenderedPageBreak/>
              <w:t>issues”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proofErr w:type="spellStart"/>
            <w:r w:rsidRPr="00947890">
              <w:rPr>
                <w:rFonts w:ascii="Calibri" w:hAnsi="Calibri" w:cs="Times New Roman"/>
                <w:color w:val="000000"/>
                <w:sz w:val="20"/>
                <w:szCs w:val="20"/>
              </w:rPr>
              <w:lastRenderedPageBreak/>
              <w:t>AoC</w:t>
            </w:r>
            <w:proofErr w:type="spellEnd"/>
            <w:r w:rsidRPr="00947890">
              <w:rPr>
                <w:rFonts w:ascii="Calibri" w:hAnsi="Calibri" w:cs="Times New Roman"/>
                <w:color w:val="000000"/>
                <w:sz w:val="20"/>
                <w:szCs w:val="20"/>
              </w:rPr>
              <w:t xml:space="preserve"> [2009] includes “(b) assessing the role and </w:t>
            </w:r>
            <w:r w:rsidRPr="00947890">
              <w:rPr>
                <w:rFonts w:ascii="Calibri" w:hAnsi="Calibri" w:cs="Times New Roman"/>
                <w:color w:val="000000"/>
                <w:sz w:val="20"/>
                <w:szCs w:val="20"/>
                <w:shd w:val="clear" w:color="auto" w:fill="FFFF00"/>
              </w:rPr>
              <w:t>effectiveness of the GAC</w:t>
            </w:r>
            <w:r w:rsidRPr="00947890">
              <w:rPr>
                <w:rFonts w:ascii="Calibri" w:hAnsi="Calibri" w:cs="Times New Roman"/>
                <w:color w:val="000000"/>
                <w:sz w:val="20"/>
                <w:szCs w:val="20"/>
              </w:rPr>
              <w:t xml:space="preserve"> and its interaction with the Board and making recommendations for improvement to ensure effective consideration by ICANN of GAC input on the public policy aspects of the technical coordination of the DNS”</w:t>
            </w:r>
          </w:p>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 xml:space="preserve">New Bylaws put it differently “(B) assessing the role and </w:t>
            </w:r>
            <w:r w:rsidRPr="00947890">
              <w:rPr>
                <w:rFonts w:ascii="Calibri" w:hAnsi="Calibri" w:cs="Times New Roman"/>
                <w:color w:val="000000"/>
                <w:sz w:val="20"/>
                <w:szCs w:val="20"/>
                <w:shd w:val="clear" w:color="auto" w:fill="FFFF00"/>
              </w:rPr>
              <w:t>effectiveness of the GAC’s interaction with the Board and with the broader ICANN community</w:t>
            </w:r>
            <w:r w:rsidRPr="00947890">
              <w:rPr>
                <w:rFonts w:ascii="Calibri" w:hAnsi="Calibri" w:cs="Times New Roman"/>
                <w:color w:val="000000"/>
                <w:sz w:val="20"/>
                <w:szCs w:val="20"/>
              </w:rPr>
              <w:t xml:space="preserve">, and </w:t>
            </w:r>
            <w:r w:rsidRPr="00947890">
              <w:rPr>
                <w:rFonts w:ascii="Calibri" w:hAnsi="Calibri" w:cs="Times New Roman"/>
                <w:color w:val="000000"/>
                <w:sz w:val="20"/>
                <w:szCs w:val="20"/>
              </w:rPr>
              <w:lastRenderedPageBreak/>
              <w:t>making recommendations for improvement to ensure effective consideration by ICANN of GAC input on the public policy aspects of the technical coordination of the DNS;</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GAC is not required to undergo independent review.</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lastRenderedPageBreak/>
              <w:t>GNSO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 xml:space="preserve">Open to registries, registrars, commercial stakeholders (BC, I{C, ISPCP), </w:t>
            </w:r>
            <w:proofErr w:type="gramStart"/>
            <w:r w:rsidRPr="00947890">
              <w:rPr>
                <w:rFonts w:ascii="Calibri" w:hAnsi="Calibri" w:cs="Times New Roman"/>
                <w:color w:val="000000"/>
                <w:sz w:val="20"/>
                <w:szCs w:val="20"/>
              </w:rPr>
              <w:t>non</w:t>
            </w:r>
            <w:proofErr w:type="gramEnd"/>
            <w:r w:rsidRPr="00947890">
              <w:rPr>
                <w:rFonts w:ascii="Calibri" w:hAnsi="Calibri" w:cs="Times New Roman"/>
                <w:color w:val="000000"/>
                <w:sz w:val="20"/>
                <w:szCs w:val="20"/>
              </w:rPr>
              <w:t>-commercial stakeholders.</w:t>
            </w:r>
          </w:p>
          <w:p w:rsidR="00947890" w:rsidRPr="00947890" w:rsidRDefault="00947890" w:rsidP="00947890">
            <w:pPr>
              <w:spacing w:before="60" w:line="0" w:lineRule="atLeast"/>
              <w:rPr>
                <w:rFonts w:ascii="Times" w:hAnsi="Times" w:cs="Times New Roman"/>
                <w:sz w:val="20"/>
                <w:szCs w:val="20"/>
              </w:rPr>
            </w:pPr>
            <w:proofErr w:type="gramStart"/>
            <w:r w:rsidRPr="00947890">
              <w:rPr>
                <w:rFonts w:ascii="Calibri" w:hAnsi="Calibri" w:cs="Times New Roman"/>
                <w:color w:val="000000"/>
                <w:sz w:val="20"/>
                <w:szCs w:val="20"/>
              </w:rPr>
              <w:t>develop</w:t>
            </w:r>
            <w:proofErr w:type="gramEnd"/>
            <w:r w:rsidRPr="00947890">
              <w:rPr>
                <w:rFonts w:ascii="Calibri" w:hAnsi="Calibri" w:cs="Times New Roman"/>
                <w:color w:val="000000"/>
                <w:sz w:val="20"/>
                <w:szCs w:val="20"/>
              </w:rPr>
              <w:t xml:space="preserve"> and recommend to the Board substantive policies relating to generic top-level domains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Every 5 years, the Bylaws require a review to determine (</w:t>
            </w:r>
            <w:proofErr w:type="spellStart"/>
            <w:r w:rsidRPr="00947890">
              <w:rPr>
                <w:rFonts w:ascii="Calibri" w:hAnsi="Calibri" w:cs="Times New Roman"/>
                <w:color w:val="000000"/>
                <w:sz w:val="20"/>
                <w:szCs w:val="20"/>
              </w:rPr>
              <w:t>i</w:t>
            </w:r>
            <w:proofErr w:type="spellEnd"/>
            <w:r w:rsidRPr="00947890">
              <w:rPr>
                <w:rFonts w:ascii="Calibri" w:hAnsi="Calibri" w:cs="Times New Roman"/>
                <w:color w:val="000000"/>
                <w:sz w:val="20"/>
                <w:szCs w:val="20"/>
              </w:rPr>
              <w:t xml:space="preserve">) whether GNSO has a continuing purpose in the ICANN structure, (ii) if so, whether any change in structure or operations is desirable to improve its </w:t>
            </w:r>
            <w:r w:rsidRPr="00947890">
              <w:rPr>
                <w:rFonts w:ascii="Calibri" w:hAnsi="Calibri" w:cs="Times New Roman"/>
                <w:color w:val="000000"/>
                <w:sz w:val="20"/>
                <w:szCs w:val="20"/>
                <w:shd w:val="clear" w:color="auto" w:fill="FFFF00"/>
              </w:rPr>
              <w:t>effectiveness</w:t>
            </w:r>
            <w:r w:rsidRPr="00947890">
              <w:rPr>
                <w:rFonts w:ascii="Calibri" w:hAnsi="Calibri" w:cs="Times New Roman"/>
                <w:color w:val="000000"/>
                <w:sz w:val="20"/>
                <w:szCs w:val="20"/>
              </w:rPr>
              <w:t xml:space="preserve"> and (iii) whether GNSO is </w:t>
            </w:r>
            <w:r w:rsidRPr="00947890">
              <w:rPr>
                <w:rFonts w:ascii="Calibri" w:hAnsi="Calibri" w:cs="Times New Roman"/>
                <w:color w:val="000000"/>
                <w:sz w:val="20"/>
                <w:szCs w:val="20"/>
                <w:shd w:val="clear" w:color="auto" w:fill="FFFF00"/>
              </w:rPr>
              <w:t>accountable</w:t>
            </w:r>
            <w:r w:rsidRPr="00947890">
              <w:rPr>
                <w:rFonts w:ascii="Calibri" w:hAnsi="Calibri" w:cs="Times New Roman"/>
                <w:color w:val="000000"/>
                <w:sz w:val="20"/>
                <w:szCs w:val="20"/>
              </w:rPr>
              <w:t xml:space="preserve"> to its constituencies, stakeholder groups, organizations and other stakeholders.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RSSAC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proofErr w:type="gramStart"/>
            <w:r w:rsidRPr="00947890">
              <w:rPr>
                <w:rFonts w:ascii="Calibri" w:hAnsi="Calibri" w:cs="Times New Roman"/>
                <w:color w:val="000000"/>
                <w:sz w:val="20"/>
                <w:szCs w:val="20"/>
              </w:rPr>
              <w:t>chairs</w:t>
            </w:r>
            <w:proofErr w:type="gramEnd"/>
            <w:r w:rsidRPr="00947890">
              <w:rPr>
                <w:rFonts w:ascii="Calibri" w:hAnsi="Calibri" w:cs="Times New Roman"/>
                <w:color w:val="000000"/>
                <w:sz w:val="20"/>
                <w:szCs w:val="20"/>
              </w:rPr>
              <w:t xml:space="preserve"> and members shall be appointed by the Board.</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w:t>
            </w:r>
            <w:proofErr w:type="gramStart"/>
            <w:r w:rsidRPr="00947890">
              <w:rPr>
                <w:rFonts w:ascii="Calibri" w:hAnsi="Calibri" w:cs="Times New Roman"/>
                <w:color w:val="000000"/>
                <w:sz w:val="20"/>
                <w:szCs w:val="20"/>
              </w:rPr>
              <w:t>advise</w:t>
            </w:r>
            <w:proofErr w:type="gramEnd"/>
            <w:r w:rsidRPr="00947890">
              <w:rPr>
                <w:rFonts w:ascii="Calibri" w:hAnsi="Calibri" w:cs="Times New Roman"/>
                <w:color w:val="000000"/>
                <w:sz w:val="20"/>
                <w:szCs w:val="20"/>
              </w:rPr>
              <w:t xml:space="preserve"> the ICANN community and Board on matters relating to the operation, administration, security, and integrity of the Internet’s Root Server System”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Every 5 years, the Bylaws require a review to determine (</w:t>
            </w:r>
            <w:proofErr w:type="spellStart"/>
            <w:r w:rsidRPr="00947890">
              <w:rPr>
                <w:rFonts w:ascii="Calibri" w:hAnsi="Calibri" w:cs="Times New Roman"/>
                <w:color w:val="000000"/>
                <w:sz w:val="20"/>
                <w:szCs w:val="20"/>
              </w:rPr>
              <w:t>i</w:t>
            </w:r>
            <w:proofErr w:type="spellEnd"/>
            <w:r w:rsidRPr="00947890">
              <w:rPr>
                <w:rFonts w:ascii="Calibri" w:hAnsi="Calibri" w:cs="Times New Roman"/>
                <w:color w:val="000000"/>
                <w:sz w:val="20"/>
                <w:szCs w:val="20"/>
              </w:rPr>
              <w:t xml:space="preserve">) whether RSSAC has a continuing purpose in the ICANN structure, (ii) if so, whether any change in structure or operations is desirable to improve its </w:t>
            </w:r>
            <w:r w:rsidRPr="00947890">
              <w:rPr>
                <w:rFonts w:ascii="Calibri" w:hAnsi="Calibri" w:cs="Times New Roman"/>
                <w:color w:val="000000"/>
                <w:sz w:val="20"/>
                <w:szCs w:val="20"/>
                <w:shd w:val="clear" w:color="auto" w:fill="FFFF00"/>
              </w:rPr>
              <w:t>effectiveness</w:t>
            </w:r>
            <w:r w:rsidRPr="00947890">
              <w:rPr>
                <w:rFonts w:ascii="Calibri" w:hAnsi="Calibri" w:cs="Times New Roman"/>
                <w:color w:val="000000"/>
                <w:sz w:val="20"/>
                <w:szCs w:val="20"/>
              </w:rPr>
              <w:t xml:space="preserve"> and (iii) whether RSSAC is </w:t>
            </w:r>
            <w:r w:rsidRPr="00947890">
              <w:rPr>
                <w:rFonts w:ascii="Calibri" w:hAnsi="Calibri" w:cs="Times New Roman"/>
                <w:color w:val="000000"/>
                <w:sz w:val="20"/>
                <w:szCs w:val="20"/>
                <w:shd w:val="clear" w:color="auto" w:fill="FFFF00"/>
              </w:rPr>
              <w:t>accountable</w:t>
            </w:r>
            <w:r w:rsidRPr="00947890">
              <w:rPr>
                <w:rFonts w:ascii="Calibri" w:hAnsi="Calibri" w:cs="Times New Roman"/>
                <w:color w:val="000000"/>
                <w:sz w:val="20"/>
                <w:szCs w:val="20"/>
              </w:rPr>
              <w:t xml:space="preserve"> to its constituencies, stakeholder groups, organizations and other stakeholders.</w:t>
            </w:r>
          </w:p>
        </w:tc>
      </w:tr>
      <w:tr w:rsidR="00947890" w:rsidRPr="00947890" w:rsidTr="009478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SSAC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rPr>
                <w:rFonts w:ascii="Times" w:hAnsi="Times" w:cs="Times New Roman"/>
                <w:sz w:val="20"/>
                <w:szCs w:val="20"/>
              </w:rPr>
            </w:pPr>
            <w:r w:rsidRPr="00947890">
              <w:rPr>
                <w:rFonts w:ascii="Calibri" w:hAnsi="Calibri" w:cs="Times New Roman"/>
                <w:color w:val="000000"/>
                <w:sz w:val="20"/>
                <w:szCs w:val="20"/>
              </w:rPr>
              <w:t>Chair and members appointed by ICANN board.</w:t>
            </w:r>
          </w:p>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w:t>
            </w:r>
            <w:proofErr w:type="gramStart"/>
            <w:r w:rsidRPr="00947890">
              <w:rPr>
                <w:rFonts w:ascii="Calibri" w:hAnsi="Calibri" w:cs="Times New Roman"/>
                <w:color w:val="000000"/>
                <w:sz w:val="20"/>
                <w:szCs w:val="20"/>
              </w:rPr>
              <w:t>advise</w:t>
            </w:r>
            <w:proofErr w:type="gramEnd"/>
            <w:r w:rsidRPr="00947890">
              <w:rPr>
                <w:rFonts w:ascii="Calibri" w:hAnsi="Calibri" w:cs="Times New Roman"/>
                <w:color w:val="000000"/>
                <w:sz w:val="20"/>
                <w:szCs w:val="20"/>
              </w:rPr>
              <w:t xml:space="preserve"> the ICANN community and Board on matters relating to the security and integrity of the Internet’s naming and address allocation systems.”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47890" w:rsidRPr="00947890" w:rsidRDefault="00947890" w:rsidP="00947890">
            <w:pPr>
              <w:spacing w:before="60" w:line="0" w:lineRule="atLeast"/>
              <w:rPr>
                <w:rFonts w:ascii="Times" w:hAnsi="Times" w:cs="Times New Roman"/>
                <w:sz w:val="20"/>
                <w:szCs w:val="20"/>
              </w:rPr>
            </w:pPr>
            <w:r w:rsidRPr="00947890">
              <w:rPr>
                <w:rFonts w:ascii="Calibri" w:hAnsi="Calibri" w:cs="Times New Roman"/>
                <w:color w:val="000000"/>
                <w:sz w:val="20"/>
                <w:szCs w:val="20"/>
              </w:rPr>
              <w:t>Every 5 years, the Bylaws require a review to determine (</w:t>
            </w:r>
            <w:proofErr w:type="spellStart"/>
            <w:r w:rsidRPr="00947890">
              <w:rPr>
                <w:rFonts w:ascii="Calibri" w:hAnsi="Calibri" w:cs="Times New Roman"/>
                <w:color w:val="000000"/>
                <w:sz w:val="20"/>
                <w:szCs w:val="20"/>
              </w:rPr>
              <w:t>i</w:t>
            </w:r>
            <w:proofErr w:type="spellEnd"/>
            <w:r w:rsidRPr="00947890">
              <w:rPr>
                <w:rFonts w:ascii="Calibri" w:hAnsi="Calibri" w:cs="Times New Roman"/>
                <w:color w:val="000000"/>
                <w:sz w:val="20"/>
                <w:szCs w:val="20"/>
              </w:rPr>
              <w:t xml:space="preserve">) whether SSAC has a continuing purpose in the ICANN structure, (ii) if so, whether any change in structure or operations is desirable to improve its </w:t>
            </w:r>
            <w:r w:rsidRPr="00947890">
              <w:rPr>
                <w:rFonts w:ascii="Calibri" w:hAnsi="Calibri" w:cs="Times New Roman"/>
                <w:color w:val="000000"/>
                <w:sz w:val="20"/>
                <w:szCs w:val="20"/>
                <w:shd w:val="clear" w:color="auto" w:fill="FFFF00"/>
              </w:rPr>
              <w:t>effectiveness</w:t>
            </w:r>
            <w:r w:rsidRPr="00947890">
              <w:rPr>
                <w:rFonts w:ascii="Calibri" w:hAnsi="Calibri" w:cs="Times New Roman"/>
                <w:color w:val="000000"/>
                <w:sz w:val="20"/>
                <w:szCs w:val="20"/>
              </w:rPr>
              <w:t xml:space="preserve"> and (iii) whether SSAC is </w:t>
            </w:r>
            <w:r w:rsidRPr="00947890">
              <w:rPr>
                <w:rFonts w:ascii="Calibri" w:hAnsi="Calibri" w:cs="Times New Roman"/>
                <w:color w:val="000000"/>
                <w:sz w:val="20"/>
                <w:szCs w:val="20"/>
                <w:shd w:val="clear" w:color="auto" w:fill="FFFF00"/>
              </w:rPr>
              <w:t>accountable</w:t>
            </w:r>
            <w:r w:rsidRPr="00947890">
              <w:rPr>
                <w:rFonts w:ascii="Calibri" w:hAnsi="Calibri" w:cs="Times New Roman"/>
                <w:color w:val="000000"/>
                <w:sz w:val="20"/>
                <w:szCs w:val="20"/>
              </w:rPr>
              <w:t xml:space="preserve"> to its constituencies, stakeholder groups, organizations and other stakeholders.</w:t>
            </w:r>
          </w:p>
        </w:tc>
      </w:tr>
    </w:tbl>
    <w:p w:rsidR="00E23994" w:rsidRDefault="00E23994">
      <w:bookmarkStart w:id="0" w:name="_GoBack"/>
      <w:bookmarkEnd w:id="0"/>
    </w:p>
    <w:sectPr w:rsidR="00E23994" w:rsidSect="00AD660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E45A6"/>
    <w:multiLevelType w:val="hybridMultilevel"/>
    <w:tmpl w:val="82989BB8"/>
    <w:lvl w:ilvl="0" w:tplc="BD6091E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90"/>
    <w:rsid w:val="006739D2"/>
    <w:rsid w:val="00947890"/>
    <w:rsid w:val="009515E4"/>
    <w:rsid w:val="00AD6606"/>
    <w:rsid w:val="00E2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11B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tabs>
        <w:tab w:val="clear" w:pos="360"/>
      </w:tabs>
      <w:spacing w:before="480"/>
      <w:ind w:left="720"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paragraph" w:styleId="NormalWeb">
    <w:name w:val="Normal (Web)"/>
    <w:basedOn w:val="Normal"/>
    <w:uiPriority w:val="99"/>
    <w:unhideWhenUsed/>
    <w:rsid w:val="0094789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tabs>
        <w:tab w:val="clear" w:pos="360"/>
      </w:tabs>
      <w:spacing w:before="480"/>
      <w:ind w:left="720"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paragraph" w:styleId="NormalWeb">
    <w:name w:val="Normal (Web)"/>
    <w:basedOn w:val="Normal"/>
    <w:uiPriority w:val="99"/>
    <w:unhideWhenUsed/>
    <w:rsid w:val="0094789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51403">
      <w:bodyDiv w:val="1"/>
      <w:marLeft w:val="0"/>
      <w:marRight w:val="0"/>
      <w:marTop w:val="0"/>
      <w:marBottom w:val="0"/>
      <w:divBdr>
        <w:top w:val="none" w:sz="0" w:space="0" w:color="auto"/>
        <w:left w:val="none" w:sz="0" w:space="0" w:color="auto"/>
        <w:bottom w:val="none" w:sz="0" w:space="0" w:color="auto"/>
        <w:right w:val="none" w:sz="0" w:space="0" w:color="auto"/>
      </w:divBdr>
      <w:divsChild>
        <w:div w:id="2449985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Macintosh Word</Application>
  <DocSecurity>0</DocSecurity>
  <Lines>35</Lines>
  <Paragraphs>9</Paragraphs>
  <ScaleCrop>false</ScaleCrop>
  <Company>Kharco</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Farzaneh Badiei</cp:lastModifiedBy>
  <cp:revision>1</cp:revision>
  <dcterms:created xsi:type="dcterms:W3CDTF">2016-08-25T09:53:00Z</dcterms:created>
  <dcterms:modified xsi:type="dcterms:W3CDTF">2016-08-25T09:54:00Z</dcterms:modified>
</cp:coreProperties>
</file>