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2472E45B" w14:textId="77777777" w:rsidR="004B0649" w:rsidRPr="004B0649" w:rsidRDefault="004B0649" w:rsidP="004B0649">
      <w:pPr>
        <w:pStyle w:val="TOC2"/>
        <w:tabs>
          <w:tab w:val="right" w:pos="9350"/>
        </w:tabs>
        <w:spacing w:before="120"/>
        <w:rPr>
          <w:rFonts w:asciiTheme="majorHAnsi" w:hAnsiTheme="majorHAnsi"/>
          <w:i w:val="0"/>
          <w:noProof/>
          <w:sz w:val="20"/>
          <w:szCs w:val="20"/>
          <w:lang w:eastAsia="ja-JP"/>
        </w:rPr>
      </w:pPr>
      <w:r w:rsidRPr="004B0649">
        <w:rPr>
          <w:rFonts w:asciiTheme="majorHAnsi" w:hAnsiTheme="majorHAnsi"/>
          <w:i w:val="0"/>
          <w:sz w:val="20"/>
          <w:szCs w:val="20"/>
        </w:rPr>
        <w:fldChar w:fldCharType="begin"/>
      </w:r>
      <w:r w:rsidRPr="004B0649">
        <w:rPr>
          <w:rFonts w:asciiTheme="majorHAnsi" w:hAnsiTheme="majorHAnsi"/>
          <w:i w:val="0"/>
          <w:sz w:val="20"/>
          <w:szCs w:val="20"/>
        </w:rPr>
        <w:instrText xml:space="preserve"> TOC \o "1-3" </w:instrText>
      </w:r>
      <w:r w:rsidRPr="004B0649">
        <w:rPr>
          <w:rFonts w:asciiTheme="majorHAnsi" w:hAnsiTheme="majorHAnsi"/>
          <w:i w:val="0"/>
          <w:sz w:val="20"/>
          <w:szCs w:val="20"/>
        </w:rPr>
        <w:fldChar w:fldCharType="separate"/>
      </w:r>
      <w:r w:rsidRPr="004B0649">
        <w:rPr>
          <w:rFonts w:asciiTheme="majorHAnsi" w:hAnsiTheme="majorHAnsi"/>
          <w:noProof/>
          <w:sz w:val="20"/>
          <w:szCs w:val="20"/>
        </w:rPr>
        <w:t>The mandate for SO/AC Accountability in Work Stream 2 (WS2)</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_Toc349130289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1</w:t>
      </w:r>
      <w:r w:rsidRPr="004B0649">
        <w:rPr>
          <w:rFonts w:asciiTheme="majorHAnsi" w:hAnsiTheme="majorHAnsi"/>
          <w:noProof/>
          <w:sz w:val="20"/>
          <w:szCs w:val="20"/>
        </w:rPr>
        <w:fldChar w:fldCharType="end"/>
      </w:r>
    </w:p>
    <w:p w14:paraId="66AF359F" w14:textId="77777777" w:rsidR="004B0649" w:rsidRPr="004B0649" w:rsidRDefault="004B0649" w:rsidP="004B0649">
      <w:pPr>
        <w:pStyle w:val="TOC2"/>
        <w:tabs>
          <w:tab w:val="right" w:pos="9350"/>
        </w:tabs>
        <w:spacing w:before="120"/>
        <w:rPr>
          <w:rFonts w:asciiTheme="majorHAnsi" w:hAnsiTheme="majorHAnsi"/>
          <w:i w:val="0"/>
          <w:noProof/>
          <w:sz w:val="20"/>
          <w:szCs w:val="20"/>
          <w:lang w:eastAsia="ja-JP"/>
        </w:rPr>
      </w:pPr>
      <w:r w:rsidRPr="004B0649">
        <w:rPr>
          <w:rFonts w:asciiTheme="majorHAnsi" w:hAnsiTheme="majorHAnsi"/>
          <w:noProof/>
          <w:sz w:val="20"/>
          <w:szCs w:val="20"/>
        </w:rPr>
        <w:t>Track 1. Review and develop recommendations to improve SO and AC processes for accountability, transparency, and participation that are helpful to prevent capture.</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_Toc349130290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3</w:t>
      </w:r>
      <w:r w:rsidRPr="004B0649">
        <w:rPr>
          <w:rFonts w:asciiTheme="majorHAnsi" w:hAnsiTheme="majorHAnsi"/>
          <w:noProof/>
          <w:sz w:val="20"/>
          <w:szCs w:val="20"/>
        </w:rPr>
        <w:fldChar w:fldCharType="end"/>
      </w:r>
    </w:p>
    <w:p w14:paraId="6AA9084D" w14:textId="77777777" w:rsidR="004B0649" w:rsidRPr="004B0649" w:rsidRDefault="004B0649" w:rsidP="004B0649">
      <w:pPr>
        <w:pStyle w:val="TOC3"/>
        <w:tabs>
          <w:tab w:val="right" w:pos="9350"/>
        </w:tabs>
        <w:spacing w:before="120"/>
        <w:rPr>
          <w:rFonts w:asciiTheme="majorHAnsi" w:hAnsiTheme="majorHAnsi"/>
          <w:noProof/>
          <w:sz w:val="20"/>
          <w:szCs w:val="20"/>
          <w:lang w:eastAsia="ja-JP"/>
        </w:rPr>
      </w:pPr>
      <w:r w:rsidRPr="004B0649">
        <w:rPr>
          <w:rFonts w:asciiTheme="majorHAnsi" w:hAnsiTheme="majorHAnsi"/>
          <w:noProof/>
          <w:sz w:val="20"/>
          <w:szCs w:val="20"/>
        </w:rPr>
        <w:t>Review and draft recommendations regarding SO/AC Accountability</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_Toc349130291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4</w:t>
      </w:r>
      <w:r w:rsidRPr="004B0649">
        <w:rPr>
          <w:rFonts w:asciiTheme="majorHAnsi" w:hAnsiTheme="majorHAnsi"/>
          <w:noProof/>
          <w:sz w:val="20"/>
          <w:szCs w:val="20"/>
        </w:rPr>
        <w:fldChar w:fldCharType="end"/>
      </w:r>
    </w:p>
    <w:p w14:paraId="71B04F41" w14:textId="77777777" w:rsidR="004B0649" w:rsidRPr="004B0649" w:rsidRDefault="004B0649" w:rsidP="004B0649">
      <w:pPr>
        <w:pStyle w:val="TOC3"/>
        <w:tabs>
          <w:tab w:val="right" w:pos="9350"/>
        </w:tabs>
        <w:spacing w:before="120"/>
        <w:rPr>
          <w:rFonts w:asciiTheme="majorHAnsi" w:hAnsiTheme="majorHAnsi"/>
          <w:noProof/>
          <w:sz w:val="20"/>
          <w:szCs w:val="20"/>
          <w:lang w:eastAsia="ja-JP"/>
        </w:rPr>
      </w:pPr>
      <w:r w:rsidRPr="004B0649">
        <w:rPr>
          <w:rFonts w:asciiTheme="majorHAnsi" w:hAnsiTheme="majorHAnsi"/>
          <w:noProof/>
          <w:sz w:val="20"/>
          <w:szCs w:val="20"/>
        </w:rPr>
        <w:t>Review and draft recommendations regarding SO/AC Transparency</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_Toc349130292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9</w:t>
      </w:r>
      <w:r w:rsidRPr="004B0649">
        <w:rPr>
          <w:rFonts w:asciiTheme="majorHAnsi" w:hAnsiTheme="majorHAnsi"/>
          <w:noProof/>
          <w:sz w:val="20"/>
          <w:szCs w:val="20"/>
        </w:rPr>
        <w:fldChar w:fldCharType="end"/>
      </w:r>
    </w:p>
    <w:p w14:paraId="13DD764A" w14:textId="77777777" w:rsidR="004B0649" w:rsidRPr="004B0649" w:rsidRDefault="004B0649" w:rsidP="004B0649">
      <w:pPr>
        <w:pStyle w:val="TOC3"/>
        <w:tabs>
          <w:tab w:val="right" w:pos="9350"/>
        </w:tabs>
        <w:spacing w:before="120"/>
        <w:rPr>
          <w:rFonts w:asciiTheme="majorHAnsi" w:hAnsiTheme="majorHAnsi"/>
          <w:noProof/>
          <w:sz w:val="20"/>
          <w:szCs w:val="20"/>
          <w:lang w:eastAsia="ja-JP"/>
        </w:rPr>
      </w:pPr>
      <w:r w:rsidRPr="004B0649">
        <w:rPr>
          <w:rFonts w:asciiTheme="majorHAnsi" w:hAnsiTheme="majorHAnsi"/>
          <w:noProof/>
          <w:sz w:val="20"/>
          <w:szCs w:val="20"/>
        </w:rPr>
        <w:t>Review and draft recommendations regarding SO/AC Participation</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_Toc349130293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13</w:t>
      </w:r>
      <w:r w:rsidRPr="004B0649">
        <w:rPr>
          <w:rFonts w:asciiTheme="majorHAnsi" w:hAnsiTheme="majorHAnsi"/>
          <w:noProof/>
          <w:sz w:val="20"/>
          <w:szCs w:val="20"/>
        </w:rPr>
        <w:fldChar w:fldCharType="end"/>
      </w:r>
    </w:p>
    <w:p w14:paraId="320FAA28" w14:textId="77777777" w:rsidR="004B0649" w:rsidRPr="004B0649" w:rsidRDefault="004B0649" w:rsidP="004B0649">
      <w:pPr>
        <w:pStyle w:val="TOC3"/>
        <w:tabs>
          <w:tab w:val="right" w:pos="9350"/>
        </w:tabs>
        <w:spacing w:before="120"/>
        <w:rPr>
          <w:rFonts w:asciiTheme="majorHAnsi" w:hAnsiTheme="majorHAnsi"/>
          <w:noProof/>
          <w:sz w:val="20"/>
          <w:szCs w:val="20"/>
          <w:lang w:eastAsia="ja-JP"/>
        </w:rPr>
      </w:pPr>
      <w:r w:rsidRPr="004B0649">
        <w:rPr>
          <w:rFonts w:asciiTheme="majorHAnsi" w:hAnsiTheme="majorHAnsi"/>
          <w:noProof/>
          <w:sz w:val="20"/>
          <w:szCs w:val="20"/>
        </w:rPr>
        <w:t>Review and draft recommendations regarding SO/AC Outreach</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_Toc349130294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17</w:t>
      </w:r>
      <w:r w:rsidRPr="004B0649">
        <w:rPr>
          <w:rFonts w:asciiTheme="majorHAnsi" w:hAnsiTheme="majorHAnsi"/>
          <w:noProof/>
          <w:sz w:val="20"/>
          <w:szCs w:val="20"/>
        </w:rPr>
        <w:fldChar w:fldCharType="end"/>
      </w:r>
    </w:p>
    <w:p w14:paraId="1DFF9FFE" w14:textId="77777777" w:rsidR="004B0649" w:rsidRPr="004B0649" w:rsidRDefault="004B0649" w:rsidP="004B0649">
      <w:pPr>
        <w:pStyle w:val="TOC3"/>
        <w:tabs>
          <w:tab w:val="right" w:pos="9350"/>
        </w:tabs>
        <w:spacing w:before="120"/>
        <w:rPr>
          <w:rFonts w:asciiTheme="majorHAnsi" w:hAnsiTheme="majorHAnsi"/>
          <w:noProof/>
          <w:sz w:val="20"/>
          <w:szCs w:val="20"/>
          <w:lang w:eastAsia="ja-JP"/>
        </w:rPr>
      </w:pPr>
      <w:r w:rsidRPr="004B0649">
        <w:rPr>
          <w:rFonts w:asciiTheme="majorHAnsi" w:hAnsiTheme="majorHAnsi"/>
          <w:noProof/>
          <w:sz w:val="20"/>
          <w:szCs w:val="20"/>
        </w:rPr>
        <w:t>Review and draft recommendations regarding updates to SO/AC Policies and Procedures</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_Toc349130295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21</w:t>
      </w:r>
      <w:r w:rsidRPr="004B0649">
        <w:rPr>
          <w:rFonts w:asciiTheme="majorHAnsi" w:hAnsiTheme="majorHAnsi"/>
          <w:noProof/>
          <w:sz w:val="20"/>
          <w:szCs w:val="20"/>
        </w:rPr>
        <w:fldChar w:fldCharType="end"/>
      </w:r>
    </w:p>
    <w:p w14:paraId="72A9967B" w14:textId="77777777" w:rsidR="004B0649" w:rsidRPr="004B0649" w:rsidRDefault="004B0649" w:rsidP="004B0649">
      <w:pPr>
        <w:pStyle w:val="TOC2"/>
        <w:tabs>
          <w:tab w:val="right" w:pos="9350"/>
        </w:tabs>
        <w:spacing w:before="120"/>
        <w:rPr>
          <w:rFonts w:asciiTheme="majorHAnsi" w:hAnsiTheme="majorHAnsi"/>
          <w:i w:val="0"/>
          <w:noProof/>
          <w:sz w:val="20"/>
          <w:szCs w:val="20"/>
          <w:lang w:eastAsia="ja-JP"/>
        </w:rPr>
      </w:pPr>
      <w:r w:rsidRPr="004B0649">
        <w:rPr>
          <w:rFonts w:asciiTheme="majorHAnsi" w:hAnsiTheme="majorHAnsi"/>
          <w:noProof/>
          <w:sz w:val="20"/>
          <w:szCs w:val="20"/>
        </w:rPr>
        <w:t>Track 2.  Evaluate the proposed “Mutual Accountability Roundtable” to assess its viability and, if viable, undertake the necessary actions to implement it.</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_Toc349130296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24</w:t>
      </w:r>
      <w:r w:rsidRPr="004B0649">
        <w:rPr>
          <w:rFonts w:asciiTheme="majorHAnsi" w:hAnsiTheme="majorHAnsi"/>
          <w:noProof/>
          <w:sz w:val="20"/>
          <w:szCs w:val="20"/>
        </w:rPr>
        <w:fldChar w:fldCharType="end"/>
      </w:r>
    </w:p>
    <w:p w14:paraId="6EFEEA43" w14:textId="77777777" w:rsidR="004B0649" w:rsidRPr="004B0649" w:rsidRDefault="004B0649" w:rsidP="004B0649">
      <w:pPr>
        <w:pStyle w:val="TOC2"/>
        <w:tabs>
          <w:tab w:val="right" w:pos="9350"/>
        </w:tabs>
        <w:spacing w:before="120"/>
        <w:rPr>
          <w:rFonts w:asciiTheme="majorHAnsi" w:hAnsiTheme="majorHAnsi"/>
          <w:i w:val="0"/>
          <w:noProof/>
          <w:sz w:val="20"/>
          <w:szCs w:val="20"/>
          <w:lang w:eastAsia="ja-JP"/>
        </w:rPr>
      </w:pPr>
      <w:r w:rsidRPr="004B0649">
        <w:rPr>
          <w:rFonts w:asciiTheme="majorHAnsi" w:hAnsiTheme="majorHAnsi"/>
          <w:noProof/>
          <w:sz w:val="20"/>
          <w:szCs w:val="20"/>
        </w:rPr>
        <w:t>Track 3. Assess whether the Independent Review Process (IRP) should be applied to SO &amp; AC activities.</w:t>
      </w:r>
      <w:r w:rsidRPr="004B0649">
        <w:rPr>
          <w:rFonts w:asciiTheme="majorHAnsi" w:hAnsiTheme="majorHAnsi"/>
          <w:noProof/>
          <w:sz w:val="20"/>
          <w:szCs w:val="20"/>
        </w:rPr>
        <w:tab/>
      </w:r>
      <w:r w:rsidRPr="004B0649">
        <w:rPr>
          <w:rFonts w:asciiTheme="majorHAnsi" w:hAnsiTheme="majorHAnsi"/>
          <w:noProof/>
          <w:sz w:val="20"/>
          <w:szCs w:val="20"/>
        </w:rPr>
        <w:fldChar w:fldCharType="begin"/>
      </w:r>
      <w:r w:rsidRPr="004B0649">
        <w:rPr>
          <w:rFonts w:asciiTheme="majorHAnsi" w:hAnsiTheme="majorHAnsi"/>
          <w:noProof/>
          <w:sz w:val="20"/>
          <w:szCs w:val="20"/>
        </w:rPr>
        <w:instrText xml:space="preserve"> PAGEREF _Toc349130297 \h </w:instrText>
      </w:r>
      <w:r w:rsidRPr="004B0649">
        <w:rPr>
          <w:rFonts w:asciiTheme="majorHAnsi" w:hAnsiTheme="majorHAnsi"/>
          <w:noProof/>
          <w:sz w:val="20"/>
          <w:szCs w:val="20"/>
        </w:rPr>
      </w:r>
      <w:r w:rsidRPr="004B0649">
        <w:rPr>
          <w:rFonts w:asciiTheme="majorHAnsi" w:hAnsiTheme="majorHAnsi"/>
          <w:noProof/>
          <w:sz w:val="20"/>
          <w:szCs w:val="20"/>
        </w:rPr>
        <w:fldChar w:fldCharType="separate"/>
      </w:r>
      <w:r w:rsidR="00AE1C20">
        <w:rPr>
          <w:rFonts w:asciiTheme="majorHAnsi" w:hAnsiTheme="majorHAnsi"/>
          <w:noProof/>
          <w:sz w:val="20"/>
          <w:szCs w:val="20"/>
        </w:rPr>
        <w:t>25</w:t>
      </w:r>
      <w:r w:rsidRPr="004B0649">
        <w:rPr>
          <w:rFonts w:asciiTheme="majorHAnsi" w:hAnsiTheme="majorHAnsi"/>
          <w:noProof/>
          <w:sz w:val="20"/>
          <w:szCs w:val="20"/>
        </w:rPr>
        <w:fldChar w:fldCharType="end"/>
      </w:r>
    </w:p>
    <w:p w14:paraId="2904F8DA" w14:textId="724662A6" w:rsidR="00F15F80" w:rsidRPr="00F15F80" w:rsidRDefault="004B0649" w:rsidP="004B0649">
      <w:pPr>
        <w:spacing w:before="120"/>
      </w:pPr>
      <w:r w:rsidRPr="004B0649">
        <w:rPr>
          <w:rFonts w:asciiTheme="majorHAnsi" w:hAnsiTheme="majorHAnsi"/>
          <w:i/>
          <w:sz w:val="20"/>
          <w:szCs w:val="20"/>
        </w:rPr>
        <w:fldChar w:fldCharType="end"/>
      </w:r>
    </w:p>
    <w:p w14:paraId="36530862" w14:textId="0C74CED5" w:rsidR="00AE6146" w:rsidRPr="00AE6146" w:rsidRDefault="00AE6146" w:rsidP="001837AC">
      <w:pPr>
        <w:pStyle w:val="Heading2"/>
      </w:pPr>
      <w:bookmarkStart w:id="1" w:name="_Toc349068879"/>
      <w:bookmarkStart w:id="2" w:name="_Toc349128810"/>
      <w:bookmarkStart w:id="3" w:name="_Toc349130289"/>
      <w:r w:rsidRPr="00AE6146">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lastRenderedPageBreak/>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49130290"/>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1B428DE6" w14:textId="333B6F86"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First, we recommend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GAC is “open to all national governments (and Distinct Economies upon invitation)”</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584C28B9" w14:textId="77777777" w:rsidR="00BA57CE" w:rsidRDefault="00BA57CE">
      <w:pPr>
        <w:rPr>
          <w:rFonts w:asciiTheme="majorHAnsi" w:hAnsiTheme="majorHAnsi"/>
          <w:sz w:val="22"/>
          <w:szCs w:val="22"/>
        </w:rPr>
      </w:pPr>
      <w:r>
        <w:rPr>
          <w:rFonts w:asciiTheme="majorHAnsi" w:hAnsiTheme="majorHAnsi"/>
          <w:sz w:val="22"/>
          <w:szCs w:val="22"/>
        </w:rPr>
        <w:br w:type="page"/>
      </w:r>
    </w:p>
    <w:p w14:paraId="610A8243" w14:textId="63EE8D29" w:rsidR="00BA57CE" w:rsidRPr="00BA57CE" w:rsidRDefault="00BA57CE">
      <w:pPr>
        <w:rPr>
          <w:rFonts w:asciiTheme="majorHAnsi" w:hAnsiTheme="majorHAnsi"/>
          <w:sz w:val="22"/>
          <w:szCs w:val="22"/>
        </w:rPr>
      </w:pPr>
      <w:r w:rsidRPr="00BA57CE">
        <w:rPr>
          <w:rFonts w:asciiTheme="majorHAnsi" w:hAnsiTheme="majorHAnsi"/>
          <w:sz w:val="22"/>
          <w:szCs w:val="22"/>
        </w:rPr>
        <w:lastRenderedPageBreak/>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18-Feb-2017:</w:t>
      </w:r>
    </w:p>
    <w:p w14:paraId="39FB5D8F" w14:textId="77777777"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p>
    <w:p w14:paraId="7CC31AF8" w14:textId="7B40FD14"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p>
    <w:p w14:paraId="62128961" w14:textId="144C0E8B"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p>
    <w:p w14:paraId="6BA0D659" w14:textId="79F29A0E"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p>
    <w:p w14:paraId="44D6A7DD" w14:textId="0F50DA04"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AF77A24" w14:textId="2D62792C"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p>
    <w:p w14:paraId="431590D8" w14:textId="430B1303" w:rsidR="003A1F67" w:rsidRDefault="0033123F" w:rsidP="0033123F">
      <w:pPr>
        <w:pStyle w:val="normal0"/>
        <w:spacing w:before="120"/>
      </w:pPr>
      <w:r>
        <w:rPr>
          <w:rFonts w:ascii="Calibri" w:eastAsia="Calibri" w:hAnsi="Calibri" w:cs="Calibri"/>
          <w:sz w:val="22"/>
          <w:szCs w:val="22"/>
        </w:rPr>
        <w:t>O</w:t>
      </w:r>
      <w:r w:rsidR="003A1F67">
        <w:rPr>
          <w:rFonts w:ascii="Calibri" w:eastAsia="Calibri" w:hAnsi="Calibri" w:cs="Calibri"/>
          <w:sz w:val="22"/>
          <w:szCs w:val="22"/>
        </w:rPr>
        <w:t>f the AC</w:t>
      </w:r>
      <w:r w:rsidR="0034267D">
        <w:rPr>
          <w:rFonts w:ascii="Calibri" w:eastAsia="Calibri" w:hAnsi="Calibri" w:cs="Calibri"/>
          <w:sz w:val="22"/>
          <w:szCs w:val="22"/>
        </w:rPr>
        <w:t>/SOs, only RSSAC did not respond</w:t>
      </w:r>
      <w:r>
        <w:rPr>
          <w:rFonts w:ascii="Calibri" w:eastAsia="Calibri" w:hAnsi="Calibri" w:cs="Calibri"/>
          <w:sz w:val="22"/>
          <w:szCs w:val="22"/>
        </w:rPr>
        <w:t>.  Within GNSO, we did not receive responses from 3 subgroups: Registry Stakeholder Group, Registrar Stakeholder Group, and NPOC</w:t>
      </w:r>
      <w:r w:rsidR="0034267D">
        <w:rPr>
          <w:rFonts w:ascii="Calibri" w:eastAsia="Calibri" w:hAnsi="Calibri" w:cs="Calibri"/>
          <w:sz w:val="22"/>
          <w:szCs w:val="22"/>
        </w:rPr>
        <w:t>)</w:t>
      </w:r>
    </w:p>
    <w:p w14:paraId="3620A334" w14:textId="2DB63B3B" w:rsidR="00BA57CE" w:rsidRDefault="00BA57CE" w:rsidP="0034267D">
      <w:pPr>
        <w:spacing w:before="12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6B1386C3" w14:textId="77777777" w:rsidR="00567EA6" w:rsidRDefault="00567EA6" w:rsidP="0034267D">
      <w:pPr>
        <w:spacing w:before="120"/>
        <w:rPr>
          <w:rFonts w:asciiTheme="majorHAnsi" w:hAnsiTheme="majorHAnsi"/>
          <w:sz w:val="22"/>
          <w:szCs w:val="22"/>
        </w:rPr>
      </w:pPr>
    </w:p>
    <w:p w14:paraId="4B7EA72C" w14:textId="64E78C99" w:rsidR="00567EA6" w:rsidRDefault="00567EA6" w:rsidP="00567EA6">
      <w:pPr>
        <w:pStyle w:val="Heading3"/>
      </w:pPr>
      <w:bookmarkStart w:id="7" w:name="_Toc349128812"/>
      <w:bookmarkStart w:id="8" w:name="_Toc349130291"/>
      <w:r>
        <w:t>Review and draft recommendations regarding SO/AC Accountability</w:t>
      </w:r>
      <w:bookmarkEnd w:id="7"/>
      <w:bookmarkEnd w:id="8"/>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6A5878">
      <w:pPr>
        <w:pStyle w:val="normal0"/>
        <w:numPr>
          <w:ilvl w:val="0"/>
          <w:numId w:val="41"/>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lastRenderedPageBreak/>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AE1C20" w:rsidP="008320E0">
      <w:pPr>
        <w:pStyle w:val="normal0"/>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AE1C20"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AE1C20"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AE1C20"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AE1C20"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6A5878">
      <w:pPr>
        <w:pStyle w:val="normal0"/>
        <w:numPr>
          <w:ilvl w:val="0"/>
          <w:numId w:val="44"/>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6A5878">
      <w:pPr>
        <w:pStyle w:val="normal0"/>
        <w:numPr>
          <w:ilvl w:val="0"/>
          <w:numId w:val="44"/>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6A5878">
      <w:pPr>
        <w:pStyle w:val="normal0"/>
        <w:numPr>
          <w:ilvl w:val="0"/>
          <w:numId w:val="44"/>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6A5878">
      <w:pPr>
        <w:pStyle w:val="normal0"/>
        <w:numPr>
          <w:ilvl w:val="0"/>
          <w:numId w:val="44"/>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4FADC064" w:rsidR="00FE540F" w:rsidRPr="00FE540F" w:rsidRDefault="00FE540F" w:rsidP="006A5878">
      <w:pPr>
        <w:pStyle w:val="normal0"/>
        <w:numPr>
          <w:ilvl w:val="0"/>
          <w:numId w:val="44"/>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the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6A5878">
      <w:pPr>
        <w:pStyle w:val="normal0"/>
        <w:numPr>
          <w:ilvl w:val="0"/>
          <w:numId w:val="42"/>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6A5878">
      <w:pPr>
        <w:pStyle w:val="normal0"/>
        <w:numPr>
          <w:ilvl w:val="0"/>
          <w:numId w:val="42"/>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6A5878">
      <w:pPr>
        <w:pStyle w:val="normal0"/>
        <w:numPr>
          <w:ilvl w:val="0"/>
          <w:numId w:val="42"/>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6A5878">
      <w:pPr>
        <w:pStyle w:val="normal0"/>
        <w:numPr>
          <w:ilvl w:val="0"/>
          <w:numId w:val="42"/>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6A5878">
      <w:pPr>
        <w:pStyle w:val="normal0"/>
        <w:numPr>
          <w:ilvl w:val="0"/>
          <w:numId w:val="18"/>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6A5878">
      <w:pPr>
        <w:pStyle w:val="normal0"/>
        <w:numPr>
          <w:ilvl w:val="0"/>
          <w:numId w:val="18"/>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6A5878">
      <w:pPr>
        <w:pStyle w:val="normal0"/>
        <w:numPr>
          <w:ilvl w:val="0"/>
          <w:numId w:val="18"/>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lastRenderedPageBreak/>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6A5878">
      <w:pPr>
        <w:pStyle w:val="normal0"/>
        <w:numPr>
          <w:ilvl w:val="0"/>
          <w:numId w:val="18"/>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6A5878">
      <w:pPr>
        <w:pStyle w:val="normal0"/>
        <w:numPr>
          <w:ilvl w:val="0"/>
          <w:numId w:val="18"/>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5D50601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1C51FC37" w14:textId="77777777" w:rsidR="009903FD" w:rsidRDefault="009903FD"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See GAC Operating Principles.</w:t>
      </w:r>
    </w:p>
    <w:p w14:paraId="6F82257E" w14:textId="10458B8C" w:rsidR="00D45DD6" w:rsidRPr="0030492E" w:rsidRDefault="00471165"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9903FD">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6A5878">
      <w:pPr>
        <w:pStyle w:val="normal0"/>
        <w:numPr>
          <w:ilvl w:val="0"/>
          <w:numId w:val="43"/>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19"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6A5878">
      <w:pPr>
        <w:pStyle w:val="normal0"/>
        <w:numPr>
          <w:ilvl w:val="0"/>
          <w:numId w:val="18"/>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6A5878">
      <w:pPr>
        <w:pStyle w:val="normal0"/>
        <w:numPr>
          <w:ilvl w:val="0"/>
          <w:numId w:val="18"/>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0"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6A5878">
      <w:pPr>
        <w:pStyle w:val="normal0"/>
        <w:numPr>
          <w:ilvl w:val="0"/>
          <w:numId w:val="18"/>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6A5878">
      <w:pPr>
        <w:pStyle w:val="normal0"/>
        <w:numPr>
          <w:ilvl w:val="0"/>
          <w:numId w:val="18"/>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6A5878">
      <w:pPr>
        <w:pStyle w:val="normal0"/>
        <w:numPr>
          <w:ilvl w:val="0"/>
          <w:numId w:val="18"/>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6A5878">
      <w:pPr>
        <w:pStyle w:val="normal0"/>
        <w:numPr>
          <w:ilvl w:val="0"/>
          <w:numId w:val="18"/>
        </w:numPr>
        <w:spacing w:before="120"/>
        <w:rPr>
          <w:rFonts w:ascii="Calibri" w:eastAsia="Calibri" w:hAnsi="Calibri" w:cs="Calibri"/>
          <w:sz w:val="20"/>
          <w:szCs w:val="22"/>
        </w:rPr>
      </w:pPr>
      <w:r w:rsidRPr="0015523C">
        <w:rPr>
          <w:rFonts w:ascii="Calibri" w:eastAsia="Calibri" w:hAnsi="Calibri" w:cs="Calibri"/>
          <w:sz w:val="20"/>
          <w:szCs w:val="22"/>
        </w:rPr>
        <w:lastRenderedPageBreak/>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6A5878">
      <w:pPr>
        <w:pStyle w:val="normal0"/>
        <w:numPr>
          <w:ilvl w:val="0"/>
          <w:numId w:val="18"/>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6A5878">
      <w:pPr>
        <w:pStyle w:val="normal0"/>
        <w:numPr>
          <w:ilvl w:val="0"/>
          <w:numId w:val="18"/>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6A5878">
      <w:pPr>
        <w:pStyle w:val="normal0"/>
        <w:numPr>
          <w:ilvl w:val="0"/>
          <w:numId w:val="18"/>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1"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lastRenderedPageBreak/>
        <w:t xml:space="preserve">Regarding challenges to elections and decisions, see </w:t>
      </w:r>
      <w:r w:rsidRPr="007529DA">
        <w:rPr>
          <w:rFonts w:ascii="Calibri" w:eastAsia="Calibri" w:hAnsi="Calibri" w:cs="Calibri"/>
          <w:sz w:val="20"/>
          <w:szCs w:val="22"/>
        </w:rPr>
        <w:t xml:space="preserve">section IV (G) of the new NCUC bylaws. </w:t>
      </w:r>
      <w:hyperlink r:id="rId22"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3CDD9450" w14:textId="3FFBAC25" w:rsidR="008C3514"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home page is at </w:t>
      </w:r>
      <w:hyperlink r:id="rId23" w:history="1">
        <w:r w:rsidRPr="00623C32">
          <w:rPr>
            <w:rStyle w:val="Hyperlink"/>
            <w:rFonts w:ascii="Calibri" w:eastAsia="Calibri" w:hAnsi="Calibri" w:cs="Calibri"/>
            <w:sz w:val="20"/>
            <w:szCs w:val="22"/>
          </w:rPr>
          <w:t>http://www.npoc.org</w:t>
        </w:r>
      </w:hyperlink>
      <w:r>
        <w:rPr>
          <w:rFonts w:ascii="Calibri" w:eastAsia="Calibri" w:hAnsi="Calibri" w:cs="Calibri"/>
          <w:sz w:val="20"/>
          <w:szCs w:val="22"/>
        </w:rPr>
        <w:t xml:space="preserve"> </w:t>
      </w:r>
    </w:p>
    <w:p w14:paraId="1B8F8639" w14:textId="1F79C8BB" w:rsidR="008C3514" w:rsidRPr="00884A3E"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24"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5"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E420E0">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3E4E716" w14:textId="7FF5A798"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home page is at </w:t>
      </w:r>
      <w:hyperlink r:id="rId27" w:history="1">
        <w:r w:rsidRPr="00623C32">
          <w:rPr>
            <w:rStyle w:val="Hyperlink"/>
            <w:rFonts w:ascii="Calibri" w:eastAsia="Calibri" w:hAnsi="Calibri" w:cs="Calibri"/>
            <w:sz w:val="20"/>
            <w:szCs w:val="22"/>
          </w:rPr>
          <w:t>https://gnso.icann.org/en/about/stakeholders-constituencies/rysg</w:t>
        </w:r>
      </w:hyperlink>
      <w:r>
        <w:rPr>
          <w:rFonts w:ascii="Calibri" w:eastAsia="Calibri" w:hAnsi="Calibri" w:cs="Calibri"/>
          <w:sz w:val="20"/>
          <w:szCs w:val="22"/>
        </w:rPr>
        <w:t xml:space="preserve"> </w:t>
      </w:r>
    </w:p>
    <w:p w14:paraId="19763376" w14:textId="0E2B6FF4"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charter at </w:t>
      </w:r>
      <w:hyperlink r:id="rId28"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p>
    <w:p w14:paraId="5D1CF1C2" w14:textId="2F81999A"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bdo>
    </w:p>
    <w:p w14:paraId="4E4DFA77" w14:textId="7BF07F5C" w:rsidR="00E420E0" w:rsidRDefault="00E420E0" w:rsidP="00E420E0">
      <w:pPr>
        <w:pStyle w:val="normal0"/>
        <w:numPr>
          <w:ilvl w:val="0"/>
          <w:numId w:val="56"/>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29"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4E7EED9D" w14:textId="208E7562"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p>
    <w:p w14:paraId="766E8CE7" w14:textId="10C18429" w:rsidR="00FE540F" w:rsidRDefault="00FE540F" w:rsidP="006A5878">
      <w:pPr>
        <w:pStyle w:val="normal0"/>
        <w:numPr>
          <w:ilvl w:val="0"/>
          <w:numId w:val="18"/>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7529DA">
        <w:rPr>
          <w:rFonts w:ascii="Calibri" w:eastAsia="Calibri" w:hAnsi="Calibri" w:cs="Calibri"/>
          <w:sz w:val="20"/>
          <w:szCs w:val="22"/>
        </w:rPr>
        <w:t>.</w:t>
      </w:r>
    </w:p>
    <w:p w14:paraId="721E5576" w14:textId="33F9F842" w:rsidR="007529DA" w:rsidRPr="0030492E" w:rsidRDefault="007529DA" w:rsidP="006A5878">
      <w:pPr>
        <w:pStyle w:val="normal0"/>
        <w:numPr>
          <w:ilvl w:val="0"/>
          <w:numId w:val="18"/>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EE6E3C4" w14:textId="01DF7DAA" w:rsidR="00D45DD6" w:rsidRPr="0013162C" w:rsidRDefault="00D45DD6" w:rsidP="00D45DD6">
      <w:pPr>
        <w:pStyle w:val="normal0"/>
        <w:spacing w:before="120"/>
        <w:rPr>
          <w:b/>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 xml:space="preserve">: </w:t>
      </w:r>
    </w:p>
    <w:p w14:paraId="0A759E7D" w14:textId="5D2554CC" w:rsidR="006134BF" w:rsidRDefault="006134BF" w:rsidP="006A5878">
      <w:pPr>
        <w:pStyle w:val="normal0"/>
        <w:numPr>
          <w:ilvl w:val="0"/>
          <w:numId w:val="19"/>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Pr>
          <w:rFonts w:ascii="Calibri" w:eastAsia="Calibri" w:hAnsi="Calibri" w:cs="Calibri"/>
          <w:sz w:val="22"/>
          <w:szCs w:val="22"/>
        </w:rPr>
        <w:t xml:space="preserve">the results of </w:t>
      </w:r>
      <w:r>
        <w:rPr>
          <w:rFonts w:ascii="Calibri" w:eastAsia="Calibri" w:hAnsi="Calibri" w:cs="Calibri"/>
          <w:sz w:val="22"/>
          <w:szCs w:val="22"/>
        </w:rPr>
        <w:t>elections and decisions.</w:t>
      </w:r>
    </w:p>
    <w:p w14:paraId="7673AE5C" w14:textId="5ECE6EA8" w:rsidR="00FE540F" w:rsidRPr="001C5BCF" w:rsidRDefault="001C5BCF" w:rsidP="006A5878">
      <w:pPr>
        <w:pStyle w:val="normal0"/>
        <w:numPr>
          <w:ilvl w:val="0"/>
          <w:numId w:val="19"/>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6A5878">
      <w:pPr>
        <w:pStyle w:val="normal0"/>
        <w:numPr>
          <w:ilvl w:val="0"/>
          <w:numId w:val="19"/>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5191158F" w14:textId="77777777" w:rsidR="00D45DD6" w:rsidRDefault="00D45DD6" w:rsidP="00D45DD6"/>
    <w:p w14:paraId="45F4E2F2" w14:textId="77777777" w:rsidR="00D45DD6" w:rsidRPr="00D45DD6" w:rsidRDefault="00D45DD6" w:rsidP="00D45DD6"/>
    <w:p w14:paraId="72C78179" w14:textId="77777777" w:rsidR="009B51FD" w:rsidRDefault="009B51FD">
      <w:pPr>
        <w:rPr>
          <w:rFonts w:asciiTheme="majorHAnsi" w:eastAsiaTheme="majorEastAsia" w:hAnsiTheme="majorHAnsi" w:cstheme="majorBidi"/>
          <w:b/>
          <w:bCs/>
          <w:color w:val="4F81BD" w:themeColor="accent1"/>
        </w:rPr>
      </w:pPr>
      <w:bookmarkStart w:id="9" w:name="_Toc349068881"/>
      <w:bookmarkStart w:id="10" w:name="_Toc349128813"/>
      <w:r>
        <w:br w:type="page"/>
      </w:r>
    </w:p>
    <w:p w14:paraId="5498EF87" w14:textId="21D490E6" w:rsidR="00A97B7C" w:rsidRDefault="00A97B7C" w:rsidP="001837AC">
      <w:pPr>
        <w:pStyle w:val="Heading3"/>
      </w:pPr>
      <w:bookmarkStart w:id="11" w:name="_Toc349130292"/>
      <w:r>
        <w:lastRenderedPageBreak/>
        <w:t>Review and draft recommendations regarding SO</w:t>
      </w:r>
      <w:r w:rsidR="00567EA6">
        <w:t>/</w:t>
      </w:r>
      <w:r w:rsidR="009B51FD">
        <w:t>AC T</w:t>
      </w:r>
      <w:r>
        <w:t>ransparency</w:t>
      </w:r>
      <w:bookmarkEnd w:id="9"/>
      <w:bookmarkEnd w:id="10"/>
      <w:bookmarkEnd w:id="11"/>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2" w:name="_gjdgxs" w:colFirst="0" w:colLast="0"/>
      <w:bookmarkEnd w:id="12"/>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0">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1">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6A5878">
      <w:pPr>
        <w:pStyle w:val="normal0"/>
        <w:widowControl w:val="0"/>
        <w:numPr>
          <w:ilvl w:val="0"/>
          <w:numId w:val="30"/>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6A5878">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2">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6A5878">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lastRenderedPageBreak/>
        <w:br/>
        <w:t>ccNSO:</w:t>
      </w:r>
    </w:p>
    <w:p w14:paraId="786120AE" w14:textId="77777777" w:rsidR="00A97B7C" w:rsidRPr="00A97B7C" w:rsidRDefault="00A97B7C" w:rsidP="006A5878">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3">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6A5878">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6A5878">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6A5878">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6A5878">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1CF6437" w14:textId="77777777" w:rsidR="00A97B7C" w:rsidRPr="00A97B7C" w:rsidRDefault="00A97B7C" w:rsidP="00BC4408">
      <w:pPr>
        <w:pStyle w:val="normal0"/>
        <w:spacing w:before="120"/>
        <w:rPr>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6A5878">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4">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6A5878">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6A5878">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3F9573FA" w:rsidR="00A97B7C" w:rsidRPr="00A97B7C" w:rsidRDefault="00A97B7C" w:rsidP="006A5878">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77777777" w:rsidR="00A97B7C" w:rsidRPr="00A97B7C" w:rsidRDefault="00A97B7C" w:rsidP="006A5878">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5">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6A5878">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6">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7">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6A5878">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8">
        <w:r w:rsidRPr="00A97B7C">
          <w:rPr>
            <w:rFonts w:asciiTheme="majorHAnsi" w:eastAsia="Calibri" w:hAnsiTheme="majorHAnsi" w:cs="Calibri"/>
            <w:color w:val="0000FF"/>
            <w:sz w:val="20"/>
            <w:szCs w:val="20"/>
            <w:u w:val="single"/>
          </w:rPr>
          <w:t>https://forum.icann.org/lists/bc-gnso/</w:t>
        </w:r>
      </w:hyperlink>
      <w:hyperlink r:id="rId39">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0">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1">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Officers are listed at </w:t>
      </w:r>
      <w:hyperlink r:id="rId42">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3">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4">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6A5878">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5">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6A5878">
      <w:pPr>
        <w:pStyle w:val="normal0"/>
        <w:widowControl w:val="0"/>
        <w:numPr>
          <w:ilvl w:val="0"/>
          <w:numId w:val="3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6">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6A5878">
      <w:pPr>
        <w:pStyle w:val="normal0"/>
        <w:widowControl w:val="0"/>
        <w:numPr>
          <w:ilvl w:val="0"/>
          <w:numId w:val="3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6A5878">
      <w:pPr>
        <w:pStyle w:val="normal0"/>
        <w:widowControl w:val="0"/>
        <w:numPr>
          <w:ilvl w:val="0"/>
          <w:numId w:val="3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7">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6A5878">
      <w:pPr>
        <w:pStyle w:val="normal0"/>
        <w:widowControl w:val="0"/>
        <w:numPr>
          <w:ilvl w:val="0"/>
          <w:numId w:val="3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8">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49">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0"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1">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2">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6A5878">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3">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4">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5">
        <w:r w:rsidRPr="00A97B7C">
          <w:rPr>
            <w:rFonts w:asciiTheme="majorHAnsi" w:eastAsia="Calibri" w:hAnsiTheme="majorHAnsi" w:cs="Calibri"/>
            <w:color w:val="0000FF"/>
            <w:sz w:val="20"/>
            <w:szCs w:val="20"/>
            <w:u w:val="single"/>
          </w:rPr>
          <w:t>http://www.ncuc.org/governance/executive-committee/</w:t>
        </w:r>
      </w:hyperlink>
      <w:hyperlink r:id="rId56">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7">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8">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6A5878">
      <w:pPr>
        <w:pStyle w:val="normal0"/>
        <w:widowControl w:val="0"/>
        <w:numPr>
          <w:ilvl w:val="0"/>
          <w:numId w:val="3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59">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18E0DA0" w14:textId="77777777" w:rsidR="008C3514"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home page is at </w:t>
      </w:r>
      <w:hyperlink r:id="rId60" w:history="1">
        <w:r w:rsidRPr="00623C32">
          <w:rPr>
            <w:rStyle w:val="Hyperlink"/>
            <w:rFonts w:ascii="Calibri" w:eastAsia="Calibri" w:hAnsi="Calibri" w:cs="Calibri"/>
            <w:sz w:val="20"/>
            <w:szCs w:val="22"/>
          </w:rPr>
          <w:t>http://www.npoc.org</w:t>
        </w:r>
      </w:hyperlink>
      <w:r>
        <w:rPr>
          <w:rFonts w:ascii="Calibri" w:eastAsia="Calibri" w:hAnsi="Calibri" w:cs="Calibri"/>
          <w:sz w:val="20"/>
          <w:szCs w:val="22"/>
        </w:rPr>
        <w:t xml:space="preserve"> </w:t>
      </w:r>
    </w:p>
    <w:p w14:paraId="21ADA312" w14:textId="77777777" w:rsidR="008C3514" w:rsidRPr="00884A3E"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61"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28842AC"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home page is at </w:t>
      </w:r>
      <w:hyperlink r:id="rId64" w:history="1">
        <w:r w:rsidRPr="00623C32">
          <w:rPr>
            <w:rStyle w:val="Hyperlink"/>
            <w:rFonts w:ascii="Calibri" w:eastAsia="Calibri" w:hAnsi="Calibri" w:cs="Calibri"/>
            <w:sz w:val="20"/>
            <w:szCs w:val="22"/>
          </w:rPr>
          <w:t>https://gnso.icann.org/en/about/stakeholders-constituencies/rysg</w:t>
        </w:r>
      </w:hyperlink>
      <w:r>
        <w:rPr>
          <w:rFonts w:ascii="Calibri" w:eastAsia="Calibri" w:hAnsi="Calibri" w:cs="Calibri"/>
          <w:sz w:val="20"/>
          <w:szCs w:val="22"/>
        </w:rPr>
        <w:t xml:space="preserve"> </w:t>
      </w:r>
    </w:p>
    <w:p w14:paraId="7072ADA7"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lastRenderedPageBreak/>
        <w:t xml:space="preserve">RySG charter at </w:t>
      </w:r>
      <w:hyperlink r:id="rId65"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p>
    <w:p w14:paraId="2506F4B0"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bdo>
    </w:p>
    <w:p w14:paraId="16E5CB93" w14:textId="77777777" w:rsidR="00E420E0" w:rsidRDefault="00E420E0" w:rsidP="00E420E0">
      <w:pPr>
        <w:pStyle w:val="normal0"/>
        <w:numPr>
          <w:ilvl w:val="0"/>
          <w:numId w:val="56"/>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66"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34EC609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SSAC:</w:t>
      </w:r>
    </w:p>
    <w:p w14:paraId="6B42D1AE" w14:textId="77777777"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6A5878">
      <w:pPr>
        <w:pStyle w:val="normal0"/>
        <w:widowControl w:val="0"/>
        <w:numPr>
          <w:ilvl w:val="0"/>
          <w:numId w:val="4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3" w:name="_Toc349068882"/>
    </w:p>
    <w:p w14:paraId="3FB3DADB" w14:textId="0530F8EF" w:rsidR="00A97B7C" w:rsidRPr="00F15F80" w:rsidRDefault="00A97B7C" w:rsidP="00F15F80">
      <w:pPr>
        <w:rPr>
          <w:rFonts w:asciiTheme="majorHAnsi" w:hAnsiTheme="majorHAnsi"/>
          <w:b/>
          <w:sz w:val="22"/>
        </w:rPr>
      </w:pPr>
      <w:r w:rsidRPr="00F15F80">
        <w:rPr>
          <w:rFonts w:asciiTheme="majorHAnsi" w:hAnsiTheme="majorHAnsi"/>
          <w:b/>
          <w:sz w:val="22"/>
        </w:rPr>
        <w:t>Recommendations regarding SO/AC transparency:</w:t>
      </w:r>
      <w:bookmarkEnd w:id="13"/>
    </w:p>
    <w:p w14:paraId="7F200BFB" w14:textId="167E8308" w:rsidR="00A97B7C" w:rsidRDefault="00A97B7C" w:rsidP="00A97B7C">
      <w:pPr>
        <w:pStyle w:val="normal0"/>
      </w:pPr>
      <w:r>
        <w:rPr>
          <w:rFonts w:ascii="Calibri" w:eastAsia="Calibri" w:hAnsi="Calibri" w:cs="Calibri"/>
          <w:sz w:val="22"/>
          <w:szCs w:val="22"/>
        </w:rPr>
        <w:t>Our review leads us to recommend that each SO/AC and subgroup consider adopting the following “best practices” regarding transparency mechanisms:</w:t>
      </w:r>
    </w:p>
    <w:p w14:paraId="0B789C0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7675E027" w14:textId="77777777" w:rsidR="009B51FD" w:rsidRDefault="009B51FD">
      <w:pPr>
        <w:rPr>
          <w:rFonts w:asciiTheme="majorHAnsi" w:eastAsiaTheme="majorEastAsia" w:hAnsiTheme="majorHAnsi" w:cstheme="majorBidi"/>
          <w:b/>
          <w:bCs/>
          <w:color w:val="4F81BD" w:themeColor="accent1"/>
        </w:rPr>
      </w:pPr>
      <w:bookmarkStart w:id="14" w:name="_Toc349068883"/>
      <w:bookmarkStart w:id="15" w:name="_Toc349128814"/>
      <w:r>
        <w:br w:type="page"/>
      </w:r>
    </w:p>
    <w:p w14:paraId="61235B30" w14:textId="1C1F43B9" w:rsidR="001837AC" w:rsidRDefault="00511901" w:rsidP="001837AC">
      <w:pPr>
        <w:pStyle w:val="Heading3"/>
      </w:pPr>
      <w:bookmarkStart w:id="16" w:name="_Toc349130293"/>
      <w:r>
        <w:lastRenderedPageBreak/>
        <w:t xml:space="preserve">Review and draft recommendations regarding SO/AC </w:t>
      </w:r>
      <w:r w:rsidR="001837AC">
        <w:t>Participation</w:t>
      </w:r>
      <w:bookmarkEnd w:id="14"/>
      <w:bookmarkEnd w:id="15"/>
      <w:bookmarkEnd w:id="16"/>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6A5878">
      <w:pPr>
        <w:pStyle w:val="normal0"/>
        <w:widowControl w:val="0"/>
        <w:numPr>
          <w:ilvl w:val="0"/>
          <w:numId w:val="45"/>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6A5878">
      <w:pPr>
        <w:pStyle w:val="normal0"/>
        <w:widowControl w:val="0"/>
        <w:numPr>
          <w:ilvl w:val="0"/>
          <w:numId w:val="45"/>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7777777" w:rsidR="001837AC" w:rsidRPr="001837AC" w:rsidRDefault="001837AC" w:rsidP="006A5878">
      <w:pPr>
        <w:pStyle w:val="normal0"/>
        <w:widowControl w:val="0"/>
        <w:numPr>
          <w:ilvl w:val="0"/>
          <w:numId w:val="45"/>
        </w:numPr>
        <w:spacing w:before="120"/>
        <w:rPr>
          <w:rFonts w:ascii="Calibri" w:eastAsia="Calibri" w:hAnsi="Calibri" w:cs="Calibri"/>
          <w:sz w:val="20"/>
          <w:szCs w:val="22"/>
        </w:rPr>
      </w:pPr>
      <w:r w:rsidRPr="001837AC">
        <w:rPr>
          <w:rFonts w:ascii="Calibri" w:eastAsia="Calibri" w:hAnsi="Calibri" w:cs="Calibri"/>
          <w:sz w:val="20"/>
          <w:szCs w:val="22"/>
        </w:rPr>
        <w:t xml:space="preserve"> 4 Work Teams (WT - under a number of different names such as Working groups, Drafting Teams, Subcommittees, etc.) are general open to all except as limited in the WT charter, mission or motion that creates it. </w:t>
      </w:r>
    </w:p>
    <w:p w14:paraId="21062A56" w14:textId="77777777" w:rsidR="001837AC" w:rsidRPr="001837AC" w:rsidRDefault="001837AC" w:rsidP="006A5878">
      <w:pPr>
        <w:pStyle w:val="normal0"/>
        <w:widowControl w:val="0"/>
        <w:numPr>
          <w:ilvl w:val="0"/>
          <w:numId w:val="45"/>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6A5878">
      <w:pPr>
        <w:pStyle w:val="normal0"/>
        <w:widowControl w:val="0"/>
        <w:numPr>
          <w:ilvl w:val="0"/>
          <w:numId w:val="45"/>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6A5878">
      <w:pPr>
        <w:pStyle w:val="normal0"/>
        <w:numPr>
          <w:ilvl w:val="0"/>
          <w:numId w:val="46"/>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6A5878">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6A5878">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6A5878">
      <w:pPr>
        <w:pStyle w:val="normal0"/>
        <w:widowControl w:val="0"/>
        <w:numPr>
          <w:ilvl w:val="0"/>
          <w:numId w:val="47"/>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77777777" w:rsidR="001837AC" w:rsidRPr="001837AC" w:rsidRDefault="001837AC" w:rsidP="006A5878">
      <w:pPr>
        <w:pStyle w:val="normal0"/>
        <w:numPr>
          <w:ilvl w:val="0"/>
          <w:numId w:val="48"/>
        </w:numPr>
        <w:spacing w:before="120"/>
        <w:rPr>
          <w:sz w:val="22"/>
        </w:rPr>
      </w:pPr>
      <w:r w:rsidRPr="001837AC">
        <w:rPr>
          <w:rFonts w:ascii="Calibri" w:eastAsia="Calibri" w:hAnsi="Calibri" w:cs="Calibri"/>
          <w:color w:val="17365D"/>
          <w:sz w:val="20"/>
          <w:szCs w:val="22"/>
        </w:rPr>
        <w:t>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lastRenderedPageBreak/>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6A5878">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6A5878">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6A5878">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BC, organizations and their representatives (primary representative and others), the organization must first become a member. Elibility criteria is outlined in §3 within the current charter and §5 in the new charter. </w:t>
      </w:r>
    </w:p>
    <w:p w14:paraId="2DDDBC6D"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6A5878">
      <w:pPr>
        <w:pStyle w:val="normal0"/>
        <w:widowControl w:val="0"/>
        <w:numPr>
          <w:ilvl w:val="0"/>
          <w:numId w:val="51"/>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lastRenderedPageBreak/>
        <w:t>GNSO-IPC</w:t>
      </w:r>
    </w:p>
    <w:p w14:paraId="3FEF5116"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6A5878">
      <w:pPr>
        <w:pStyle w:val="normal0"/>
        <w:widowControl w:val="0"/>
        <w:numPr>
          <w:ilvl w:val="0"/>
          <w:numId w:val="52"/>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6A5878">
      <w:pPr>
        <w:pStyle w:val="normal0"/>
        <w:widowControl w:val="0"/>
        <w:numPr>
          <w:ilvl w:val="0"/>
          <w:numId w:val="53"/>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6A5878">
      <w:pPr>
        <w:pStyle w:val="normal0"/>
        <w:widowControl w:val="0"/>
        <w:numPr>
          <w:ilvl w:val="0"/>
          <w:numId w:val="53"/>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6A5878">
      <w:pPr>
        <w:pStyle w:val="normal0"/>
        <w:widowControl w:val="0"/>
        <w:numPr>
          <w:ilvl w:val="0"/>
          <w:numId w:val="54"/>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6A5878">
      <w:pPr>
        <w:pStyle w:val="normal0"/>
        <w:widowControl w:val="0"/>
        <w:numPr>
          <w:ilvl w:val="0"/>
          <w:numId w:val="54"/>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w:t>
      </w:r>
      <w:r w:rsidRPr="001837AC">
        <w:rPr>
          <w:rFonts w:ascii="Calibri" w:eastAsia="Calibri" w:hAnsi="Calibri" w:cs="Calibri"/>
          <w:sz w:val="20"/>
          <w:szCs w:val="22"/>
          <w:highlight w:val="white"/>
        </w:rPr>
        <w:lastRenderedPageBreak/>
        <w:t xml:space="preserve">status changes can be removed if appropriate. </w:t>
      </w:r>
    </w:p>
    <w:p w14:paraId="52F5B5A6" w14:textId="77777777" w:rsidR="001837AC" w:rsidRPr="001837AC" w:rsidRDefault="001837AC" w:rsidP="006A5878">
      <w:pPr>
        <w:pStyle w:val="normal0"/>
        <w:widowControl w:val="0"/>
        <w:numPr>
          <w:ilvl w:val="0"/>
          <w:numId w:val="54"/>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6A5878">
      <w:pPr>
        <w:pStyle w:val="normal0"/>
        <w:widowControl w:val="0"/>
        <w:numPr>
          <w:ilvl w:val="0"/>
          <w:numId w:val="54"/>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A979B8D" w14:textId="77777777" w:rsidR="008C3514"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home page is at </w:t>
      </w:r>
      <w:hyperlink r:id="rId81" w:history="1">
        <w:r w:rsidRPr="00623C32">
          <w:rPr>
            <w:rStyle w:val="Hyperlink"/>
            <w:rFonts w:ascii="Calibri" w:eastAsia="Calibri" w:hAnsi="Calibri" w:cs="Calibri"/>
            <w:sz w:val="20"/>
            <w:szCs w:val="22"/>
          </w:rPr>
          <w:t>http://www.npoc.org</w:t>
        </w:r>
      </w:hyperlink>
      <w:r>
        <w:rPr>
          <w:rFonts w:ascii="Calibri" w:eastAsia="Calibri" w:hAnsi="Calibri" w:cs="Calibri"/>
          <w:sz w:val="20"/>
          <w:szCs w:val="22"/>
        </w:rPr>
        <w:t xml:space="preserve"> </w:t>
      </w:r>
    </w:p>
    <w:p w14:paraId="2537603E" w14:textId="77777777" w:rsidR="008C3514" w:rsidRPr="00884A3E"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82"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3"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4"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776C72C"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home page is at </w:t>
      </w:r>
      <w:hyperlink r:id="rId85" w:history="1">
        <w:r w:rsidRPr="00623C32">
          <w:rPr>
            <w:rStyle w:val="Hyperlink"/>
            <w:rFonts w:ascii="Calibri" w:eastAsia="Calibri" w:hAnsi="Calibri" w:cs="Calibri"/>
            <w:sz w:val="20"/>
            <w:szCs w:val="22"/>
          </w:rPr>
          <w:t>https://gnso.icann.org/en/about/stakeholders-constituencies/rysg</w:t>
        </w:r>
      </w:hyperlink>
      <w:r>
        <w:rPr>
          <w:rFonts w:ascii="Calibri" w:eastAsia="Calibri" w:hAnsi="Calibri" w:cs="Calibri"/>
          <w:sz w:val="20"/>
          <w:szCs w:val="22"/>
        </w:rPr>
        <w:t xml:space="preserve"> </w:t>
      </w:r>
    </w:p>
    <w:p w14:paraId="72C39CAD"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charter at </w:t>
      </w:r>
      <w:hyperlink r:id="rId86"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p>
    <w:p w14:paraId="08BF77E5"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bdo>
    </w:p>
    <w:p w14:paraId="346751D7" w14:textId="77777777" w:rsidR="00E420E0" w:rsidRDefault="00E420E0" w:rsidP="00E420E0">
      <w:pPr>
        <w:pStyle w:val="normal0"/>
        <w:numPr>
          <w:ilvl w:val="0"/>
          <w:numId w:val="56"/>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87"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2B89CCC5" w14:textId="77777777" w:rsidR="001837AC" w:rsidRPr="001837AC" w:rsidRDefault="001837AC" w:rsidP="006A5878">
      <w:pPr>
        <w:pStyle w:val="normal0"/>
        <w:spacing w:before="120"/>
        <w:rPr>
          <w:sz w:val="22"/>
        </w:rPr>
      </w:pPr>
      <w:r w:rsidRPr="001837AC">
        <w:rPr>
          <w:rFonts w:ascii="Calibri" w:eastAsia="Calibri" w:hAnsi="Calibri" w:cs="Calibri"/>
          <w:sz w:val="20"/>
          <w:szCs w:val="22"/>
        </w:rPr>
        <w:t>SSAC</w:t>
      </w:r>
    </w:p>
    <w:p w14:paraId="5F34DB4F" w14:textId="0DEEEFC3" w:rsidR="001837AC" w:rsidRDefault="001837AC" w:rsidP="006A5878">
      <w:pPr>
        <w:pStyle w:val="normal0"/>
        <w:widowControl w:val="0"/>
        <w:numPr>
          <w:ilvl w:val="0"/>
          <w:numId w:val="55"/>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7" w:name="_Toc349068884"/>
      <w:bookmarkStart w:id="18" w:name="_Toc349128815"/>
    </w:p>
    <w:p w14:paraId="731A1949" w14:textId="4BCC379C" w:rsidR="001837AC" w:rsidRPr="004B4920" w:rsidRDefault="001837AC" w:rsidP="004B4920">
      <w:pPr>
        <w:rPr>
          <w:rFonts w:asciiTheme="majorHAnsi" w:hAnsiTheme="majorHAnsi"/>
          <w:b/>
          <w:sz w:val="22"/>
          <w:szCs w:val="22"/>
        </w:rPr>
      </w:pPr>
      <w:r w:rsidRPr="004B4920">
        <w:rPr>
          <w:rFonts w:asciiTheme="majorHAnsi" w:hAnsiTheme="majorHAnsi"/>
          <w:b/>
          <w:sz w:val="22"/>
          <w:szCs w:val="22"/>
        </w:rPr>
        <w:t>Recommendations regarding SO/AC participation:</w:t>
      </w:r>
      <w:bookmarkEnd w:id="17"/>
      <w:bookmarkEnd w:id="18"/>
    </w:p>
    <w:p w14:paraId="70CC7E2B" w14:textId="6E43F0D8" w:rsidR="001837AC" w:rsidRPr="001837AC" w:rsidRDefault="001837AC" w:rsidP="006A5878">
      <w:pPr>
        <w:pStyle w:val="normal0"/>
        <w:numPr>
          <w:ilvl w:val="0"/>
          <w:numId w:val="10"/>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6A5878">
      <w:pPr>
        <w:pStyle w:val="normal0"/>
        <w:numPr>
          <w:ilvl w:val="0"/>
          <w:numId w:val="10"/>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6A5878">
      <w:pPr>
        <w:pStyle w:val="normal0"/>
        <w:numPr>
          <w:ilvl w:val="0"/>
          <w:numId w:val="10"/>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08132917" w:rsidR="001837AC" w:rsidRPr="00A217AE" w:rsidRDefault="00A217AE" w:rsidP="006A5878">
      <w:pPr>
        <w:pStyle w:val="normal0"/>
        <w:numPr>
          <w:ilvl w:val="0"/>
          <w:numId w:val="10"/>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w:t>
      </w:r>
    </w:p>
    <w:p w14:paraId="5D4A0777" w14:textId="56237A68" w:rsidR="00A217AE" w:rsidRPr="00A217AE" w:rsidRDefault="00A217AE" w:rsidP="00A217AE">
      <w:pPr>
        <w:pStyle w:val="normal0"/>
        <w:numPr>
          <w:ilvl w:val="0"/>
          <w:numId w:val="10"/>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6A5878">
      <w:pPr>
        <w:pStyle w:val="normal0"/>
        <w:numPr>
          <w:ilvl w:val="0"/>
          <w:numId w:val="10"/>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7FBEA971" w14:textId="77777777" w:rsidR="00A217AE" w:rsidRDefault="00A217AE">
      <w:pPr>
        <w:rPr>
          <w:rFonts w:asciiTheme="majorHAnsi" w:eastAsiaTheme="majorEastAsia" w:hAnsiTheme="majorHAnsi" w:cstheme="majorBidi"/>
          <w:b/>
          <w:bCs/>
          <w:color w:val="4F81BD" w:themeColor="accent1"/>
        </w:rPr>
      </w:pPr>
      <w:r>
        <w:br w:type="page"/>
      </w:r>
    </w:p>
    <w:p w14:paraId="61EF8D9A" w14:textId="3F7B7EDD" w:rsidR="00700632" w:rsidRDefault="005F4474" w:rsidP="00700632">
      <w:pPr>
        <w:pStyle w:val="Heading3"/>
      </w:pPr>
      <w:bookmarkStart w:id="19" w:name="_Toc349128816"/>
      <w:bookmarkStart w:id="20" w:name="_Toc349130294"/>
      <w:r>
        <w:lastRenderedPageBreak/>
        <w:t xml:space="preserve">Review and draft recommendations regarding SO/AC </w:t>
      </w:r>
      <w:r w:rsidR="00700632">
        <w:t>Outreach</w:t>
      </w:r>
      <w:bookmarkEnd w:id="19"/>
      <w:bookmarkEnd w:id="20"/>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A217AE">
      <w:pPr>
        <w:pStyle w:val="normal0"/>
        <w:widowControl w:val="0"/>
        <w:numPr>
          <w:ilvl w:val="0"/>
          <w:numId w:val="2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8">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A217AE">
      <w:pPr>
        <w:pStyle w:val="normal0"/>
        <w:widowControl w:val="0"/>
        <w:numPr>
          <w:ilvl w:val="0"/>
          <w:numId w:val="2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A217AE">
      <w:pPr>
        <w:pStyle w:val="normal0"/>
        <w:widowControl w:val="0"/>
        <w:numPr>
          <w:ilvl w:val="0"/>
          <w:numId w:val="2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572C9B9" w14:textId="77777777" w:rsidR="00700632" w:rsidRPr="00700632" w:rsidRDefault="00700632" w:rsidP="00A217AE">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GAC face-to- face meetings regularly include capacity-building and outreach sessions to encourage the widest range of participation by members.</w:t>
      </w:r>
    </w:p>
    <w:p w14:paraId="2FB194E6" w14:textId="77777777" w:rsidR="00700632" w:rsidRPr="00700632" w:rsidRDefault="00700632" w:rsidP="00A217AE">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GAC has membership of 170 national and territory government. GAC does outreach to the remaining governments through the biennial ICANN High Level Governmental Meeting, where Ministers from GAC and Non-GAC member governments are invited. Also, individual governments and IGOs also do outreach to the non-members - e.g. UK has been in contact with Bangladesh administration. </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A217AE">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A217AE">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A217AE">
      <w:pPr>
        <w:pStyle w:val="normal0"/>
        <w:widowControl w:val="0"/>
        <w:numPr>
          <w:ilvl w:val="0"/>
          <w:numId w:val="15"/>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A217AE">
      <w:pPr>
        <w:pStyle w:val="normal0"/>
        <w:numPr>
          <w:ilvl w:val="0"/>
          <w:numId w:val="15"/>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A217AE">
      <w:pPr>
        <w:pStyle w:val="normal0"/>
        <w:widowControl w:val="0"/>
        <w:numPr>
          <w:ilvl w:val="0"/>
          <w:numId w:val="15"/>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A217AE">
      <w:pPr>
        <w:pStyle w:val="normal0"/>
        <w:widowControl w:val="0"/>
        <w:numPr>
          <w:ilvl w:val="0"/>
          <w:numId w:val="15"/>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A217AE">
      <w:pPr>
        <w:pStyle w:val="normal0"/>
        <w:widowControl w:val="0"/>
        <w:numPr>
          <w:ilvl w:val="0"/>
          <w:numId w:val="15"/>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9"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A217AE">
      <w:pPr>
        <w:pStyle w:val="normal0"/>
        <w:widowControl w:val="0"/>
        <w:numPr>
          <w:ilvl w:val="0"/>
          <w:numId w:val="15"/>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90"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91"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The IPC has a website and a print brochure for outreach purposes.</w:t>
      </w:r>
    </w:p>
    <w:p w14:paraId="76E2EFB2"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92"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93"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A217AE">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4"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5"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A217AE">
      <w:pPr>
        <w:pStyle w:val="normal0"/>
        <w:widowControl w:val="0"/>
        <w:numPr>
          <w:ilvl w:val="0"/>
          <w:numId w:val="16"/>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6"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A217AE">
      <w:pPr>
        <w:pStyle w:val="normal0"/>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348D2F1" w14:textId="77777777" w:rsidR="008C3514"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home page is at </w:t>
      </w:r>
      <w:hyperlink r:id="rId97" w:history="1">
        <w:r w:rsidRPr="00623C32">
          <w:rPr>
            <w:rStyle w:val="Hyperlink"/>
            <w:rFonts w:ascii="Calibri" w:eastAsia="Calibri" w:hAnsi="Calibri" w:cs="Calibri"/>
            <w:sz w:val="20"/>
            <w:szCs w:val="22"/>
          </w:rPr>
          <w:t>http://www.npoc.org</w:t>
        </w:r>
      </w:hyperlink>
      <w:r>
        <w:rPr>
          <w:rFonts w:ascii="Calibri" w:eastAsia="Calibri" w:hAnsi="Calibri" w:cs="Calibri"/>
          <w:sz w:val="20"/>
          <w:szCs w:val="22"/>
        </w:rPr>
        <w:t xml:space="preserve"> </w:t>
      </w:r>
    </w:p>
    <w:p w14:paraId="4BD153D2" w14:textId="77777777" w:rsidR="008C3514" w:rsidRPr="00884A3E"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98"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9"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lastRenderedPageBreak/>
        <w:t xml:space="preserve">RrSG charter is at </w:t>
      </w:r>
      <w:hyperlink r:id="rId100"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594E9C2"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home page is at </w:t>
      </w:r>
      <w:hyperlink r:id="rId101" w:history="1">
        <w:r w:rsidRPr="00623C32">
          <w:rPr>
            <w:rStyle w:val="Hyperlink"/>
            <w:rFonts w:ascii="Calibri" w:eastAsia="Calibri" w:hAnsi="Calibri" w:cs="Calibri"/>
            <w:sz w:val="20"/>
            <w:szCs w:val="22"/>
          </w:rPr>
          <w:t>https://gnso.icann.org/en/about/stakeholders-constituencies/rysg</w:t>
        </w:r>
      </w:hyperlink>
      <w:r>
        <w:rPr>
          <w:rFonts w:ascii="Calibri" w:eastAsia="Calibri" w:hAnsi="Calibri" w:cs="Calibri"/>
          <w:sz w:val="20"/>
          <w:szCs w:val="22"/>
        </w:rPr>
        <w:t xml:space="preserve"> </w:t>
      </w:r>
    </w:p>
    <w:p w14:paraId="6CD89DD4"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charter at </w:t>
      </w:r>
      <w:hyperlink r:id="rId102"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p>
    <w:p w14:paraId="7ABB656E"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bdo>
    </w:p>
    <w:p w14:paraId="022F17A0" w14:textId="77777777" w:rsidR="00E420E0" w:rsidRDefault="00E420E0" w:rsidP="00E420E0">
      <w:pPr>
        <w:pStyle w:val="normal0"/>
        <w:numPr>
          <w:ilvl w:val="0"/>
          <w:numId w:val="56"/>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103"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547C9754"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SSAC</w:t>
      </w:r>
    </w:p>
    <w:p w14:paraId="4AC645CF" w14:textId="77777777" w:rsidR="00700632" w:rsidRPr="00700632" w:rsidRDefault="00700632" w:rsidP="00A217AE">
      <w:pPr>
        <w:pStyle w:val="normal0"/>
        <w:numPr>
          <w:ilvl w:val="0"/>
          <w:numId w:val="18"/>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14:paraId="22DD9D60" w14:textId="6727ABD8" w:rsidR="00700632" w:rsidRPr="00700632" w:rsidRDefault="00700632" w:rsidP="00700632">
      <w:pPr>
        <w:pStyle w:val="normal0"/>
        <w:spacing w:before="120"/>
        <w:rPr>
          <w:b/>
        </w:rPr>
      </w:pPr>
      <w:r w:rsidRPr="00700632">
        <w:rPr>
          <w:rFonts w:ascii="Calibri" w:eastAsia="Calibri" w:hAnsi="Calibri" w:cs="Calibri"/>
          <w:b/>
          <w:sz w:val="22"/>
          <w:szCs w:val="22"/>
        </w:rPr>
        <w:t xml:space="preserve">Recommendations regarding Outreach: </w:t>
      </w:r>
    </w:p>
    <w:p w14:paraId="1B91352D" w14:textId="77777777" w:rsidR="00700632" w:rsidRDefault="00700632" w:rsidP="006A5878">
      <w:pPr>
        <w:pStyle w:val="normal0"/>
        <w:widowControl w:val="0"/>
        <w:numPr>
          <w:ilvl w:val="0"/>
          <w:numId w:val="11"/>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6A5878">
      <w:pPr>
        <w:pStyle w:val="normal0"/>
        <w:widowControl w:val="0"/>
        <w:numPr>
          <w:ilvl w:val="0"/>
          <w:numId w:val="11"/>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0E25F8C5" w:rsidR="00700632" w:rsidRDefault="00700632" w:rsidP="006A5878">
      <w:pPr>
        <w:pStyle w:val="normal0"/>
        <w:widowControl w:val="0"/>
        <w:numPr>
          <w:ilvl w:val="0"/>
          <w:numId w:val="11"/>
        </w:numPr>
        <w:spacing w:before="120" w:after="200"/>
        <w:ind w:hanging="360"/>
        <w:rPr>
          <w:rFonts w:ascii="Calibri" w:eastAsia="Calibri" w:hAnsi="Calibri" w:cs="Calibri"/>
          <w:sz w:val="22"/>
          <w:szCs w:val="22"/>
        </w:rPr>
      </w:pPr>
      <w:r>
        <w:rPr>
          <w:rFonts w:ascii="Calibri" w:eastAsia="Calibri" w:hAnsi="Calibri" w:cs="Calibri"/>
          <w:sz w:val="22"/>
          <w:szCs w:val="22"/>
        </w:rPr>
        <w:t>Each AC/SO should consider creating a committee to manage outreach programs to attract additional eligible members, particularly from parts of their targeted community that may not be adequately participating.</w:t>
      </w:r>
    </w:p>
    <w:p w14:paraId="711D839D" w14:textId="77777777" w:rsidR="00700632" w:rsidRDefault="00700632" w:rsidP="006A5878">
      <w:pPr>
        <w:pStyle w:val="normal0"/>
        <w:widowControl w:val="0"/>
        <w:numPr>
          <w:ilvl w:val="0"/>
          <w:numId w:val="11"/>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6A5878">
      <w:pPr>
        <w:pStyle w:val="normal0"/>
        <w:widowControl w:val="0"/>
        <w:numPr>
          <w:ilvl w:val="0"/>
          <w:numId w:val="11"/>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0FB0595E" w14:textId="77777777" w:rsidR="008C3514" w:rsidRDefault="008C3514">
      <w:pPr>
        <w:rPr>
          <w:rFonts w:asciiTheme="majorHAnsi" w:eastAsiaTheme="majorEastAsia" w:hAnsiTheme="majorHAnsi" w:cstheme="majorBidi"/>
          <w:b/>
          <w:bCs/>
          <w:color w:val="4F81BD" w:themeColor="accent1"/>
        </w:rPr>
      </w:pPr>
      <w:bookmarkStart w:id="21" w:name="_Toc349128817"/>
      <w:r>
        <w:br w:type="page"/>
      </w:r>
    </w:p>
    <w:p w14:paraId="6BDE1802" w14:textId="38898B43" w:rsidR="00957D42" w:rsidRDefault="00957D42" w:rsidP="00957D42">
      <w:pPr>
        <w:pStyle w:val="Heading3"/>
      </w:pPr>
      <w:bookmarkStart w:id="22" w:name="_Toc349130295"/>
      <w:r>
        <w:lastRenderedPageBreak/>
        <w:t xml:space="preserve">Review and draft recommendations regarding </w:t>
      </w:r>
      <w:r w:rsidR="002A077C">
        <w:t xml:space="preserve">updates to </w:t>
      </w:r>
      <w:r>
        <w:t xml:space="preserve">SO/AC </w:t>
      </w:r>
      <w:r w:rsidR="002A077C">
        <w:t>Policies and Procedures</w:t>
      </w:r>
      <w:bookmarkEnd w:id="21"/>
      <w:bookmarkEnd w:id="22"/>
    </w:p>
    <w:p w14:paraId="424BEF46" w14:textId="77777777" w:rsidR="00957D42" w:rsidRDefault="00957D42" w:rsidP="00957D42">
      <w:pPr>
        <w:pStyle w:val="normal0"/>
        <w:spacing w:before="120"/>
      </w:pPr>
      <w:r>
        <w:rPr>
          <w:rFonts w:ascii="Calibri" w:eastAsia="Calibri" w:hAnsi="Calibri" w:cs="Calibri"/>
          <w:sz w:val="22"/>
          <w:szCs w:val="22"/>
        </w:rPr>
        <w:t>We asked each SO/AC/subgroup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6A5878">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6A5878">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6A5878">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6A5878">
      <w:pPr>
        <w:pStyle w:val="normal0"/>
        <w:numPr>
          <w:ilvl w:val="0"/>
          <w:numId w:val="25"/>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104"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105">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6A5878">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106"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6A5878">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107"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6A5878">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108"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6A5878">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6A5878">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77777777" w:rsidR="002A077C" w:rsidRPr="002A077C" w:rsidRDefault="002A077C" w:rsidP="006A5878">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 All decisions of the ccNSO Council are </w:t>
      </w:r>
      <w:r w:rsidRPr="002A077C">
        <w:rPr>
          <w:rFonts w:ascii="Calibri" w:eastAsia="Calibri" w:hAnsi="Calibri" w:cs="Calibri"/>
          <w:sz w:val="20"/>
          <w:szCs w:val="22"/>
        </w:rPr>
        <w:lastRenderedPageBreak/>
        <w:t>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6A5878">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3F497B44" w14:textId="25FF4E06" w:rsidR="002A077C" w:rsidRPr="002A077C" w:rsidRDefault="002A077C" w:rsidP="006A5878">
      <w:pPr>
        <w:pStyle w:val="normal0"/>
        <w:numPr>
          <w:ilvl w:val="0"/>
          <w:numId w:val="27"/>
        </w:numPr>
        <w:spacing w:after="200"/>
        <w:rPr>
          <w:rFonts w:ascii="Calibri" w:eastAsia="Calibri" w:hAnsi="Calibri" w:cs="Calibri"/>
          <w:sz w:val="20"/>
          <w:szCs w:val="22"/>
        </w:rPr>
      </w:pPr>
      <w:r w:rsidRPr="002A077C">
        <w:rPr>
          <w:rFonts w:ascii="Calibri" w:eastAsia="Calibri" w:hAnsi="Calibri" w:cs="Calibri"/>
          <w:sz w:val="20"/>
          <w:szCs w:val="22"/>
        </w:rPr>
        <w:t>The GAC participates by appointing members to ATRT and other review teams. All GAC-related recommendations in both the ATRT1 and 2 Final reports have been implemented by the GAC. The GAC also reviews its internal processes and Operating Principles when developments so require.</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6A5878">
      <w:pPr>
        <w:pStyle w:val="normal0"/>
        <w:numPr>
          <w:ilvl w:val="0"/>
          <w:numId w:val="27"/>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6A5878">
      <w:pPr>
        <w:pStyle w:val="normal0"/>
        <w:numPr>
          <w:ilvl w:val="0"/>
          <w:numId w:val="28"/>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9"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6A5878">
      <w:pPr>
        <w:pStyle w:val="normal0"/>
        <w:numPr>
          <w:ilvl w:val="0"/>
          <w:numId w:val="28"/>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6A5878">
      <w:pPr>
        <w:pStyle w:val="normal0"/>
        <w:numPr>
          <w:ilvl w:val="0"/>
          <w:numId w:val="29"/>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6A5878">
      <w:pPr>
        <w:pStyle w:val="normal0"/>
        <w:numPr>
          <w:ilvl w:val="0"/>
          <w:numId w:val="29"/>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6A5878">
      <w:pPr>
        <w:pStyle w:val="normal0"/>
        <w:numPr>
          <w:ilvl w:val="0"/>
          <w:numId w:val="29"/>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57D53250" w14:textId="77777777" w:rsidR="008C3514"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home page is at </w:t>
      </w:r>
      <w:hyperlink r:id="rId110" w:history="1">
        <w:r w:rsidRPr="00623C32">
          <w:rPr>
            <w:rStyle w:val="Hyperlink"/>
            <w:rFonts w:ascii="Calibri" w:eastAsia="Calibri" w:hAnsi="Calibri" w:cs="Calibri"/>
            <w:sz w:val="20"/>
            <w:szCs w:val="22"/>
          </w:rPr>
          <w:t>http://www.npoc.org</w:t>
        </w:r>
      </w:hyperlink>
      <w:r>
        <w:rPr>
          <w:rFonts w:ascii="Calibri" w:eastAsia="Calibri" w:hAnsi="Calibri" w:cs="Calibri"/>
          <w:sz w:val="20"/>
          <w:szCs w:val="22"/>
        </w:rPr>
        <w:t xml:space="preserve"> </w:t>
      </w:r>
    </w:p>
    <w:p w14:paraId="28F81116" w14:textId="77777777" w:rsidR="008C3514" w:rsidRPr="00884A3E" w:rsidRDefault="008C3514" w:rsidP="008C3514">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111"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lastRenderedPageBreak/>
        <w:t>GNSO RrSG (Registrars Stakeholder Group):</w:t>
      </w:r>
    </w:p>
    <w:p w14:paraId="1F8B4608" w14:textId="77777777" w:rsid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1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884A3E">
      <w:pPr>
        <w:pStyle w:val="normal0"/>
        <w:numPr>
          <w:ilvl w:val="0"/>
          <w:numId w:val="58"/>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1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4DE39D4F"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home page is at </w:t>
      </w:r>
      <w:hyperlink r:id="rId114" w:history="1">
        <w:r w:rsidRPr="00623C32">
          <w:rPr>
            <w:rStyle w:val="Hyperlink"/>
            <w:rFonts w:ascii="Calibri" w:eastAsia="Calibri" w:hAnsi="Calibri" w:cs="Calibri"/>
            <w:sz w:val="20"/>
            <w:szCs w:val="22"/>
          </w:rPr>
          <w:t>https://gnso.icann.org/en/about/stakeholders-constituencies/rysg</w:t>
        </w:r>
      </w:hyperlink>
      <w:r>
        <w:rPr>
          <w:rFonts w:ascii="Calibri" w:eastAsia="Calibri" w:hAnsi="Calibri" w:cs="Calibri"/>
          <w:sz w:val="20"/>
          <w:szCs w:val="22"/>
        </w:rPr>
        <w:t xml:space="preserve"> </w:t>
      </w:r>
    </w:p>
    <w:p w14:paraId="3016C022" w14:textId="77777777" w:rsidR="00884A3E" w:rsidRDefault="00884A3E" w:rsidP="00884A3E">
      <w:pPr>
        <w:pStyle w:val="normal0"/>
        <w:numPr>
          <w:ilvl w:val="0"/>
          <w:numId w:val="57"/>
        </w:numPr>
        <w:spacing w:before="120"/>
        <w:rPr>
          <w:rFonts w:ascii="Calibri" w:eastAsia="Calibri" w:hAnsi="Calibri" w:cs="Calibri"/>
          <w:sz w:val="20"/>
          <w:szCs w:val="22"/>
        </w:rPr>
      </w:pPr>
      <w:r>
        <w:rPr>
          <w:rFonts w:ascii="Calibri" w:eastAsia="Calibri" w:hAnsi="Calibri" w:cs="Calibri"/>
          <w:sz w:val="20"/>
          <w:szCs w:val="22"/>
        </w:rPr>
        <w:t xml:space="preserve">RySG charter at </w:t>
      </w:r>
      <w:hyperlink r:id="rId115"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p>
    <w:p w14:paraId="5067D87B" w14:textId="3186BDDB"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SSAC</w:t>
      </w:r>
      <w:r w:rsidR="009E7B95">
        <w:rPr>
          <w:rFonts w:ascii="Calibri" w:eastAsia="Calibri" w:hAnsi="Calibri" w:cs="Calibri"/>
          <w:sz w:val="20"/>
          <w:szCs w:val="22"/>
        </w:rPr>
        <w:t>:</w:t>
      </w:r>
    </w:p>
    <w:p w14:paraId="3AE8C432" w14:textId="5F4603FB" w:rsidR="002A077C" w:rsidRPr="002A077C" w:rsidRDefault="006A6B37" w:rsidP="006A5878">
      <w:pPr>
        <w:pStyle w:val="normal0"/>
        <w:numPr>
          <w:ilvl w:val="0"/>
          <w:numId w:val="29"/>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6B2F0827" w14:textId="3DA696F3" w:rsidR="002A077C" w:rsidRPr="002A077C" w:rsidRDefault="002A077C" w:rsidP="002A077C">
      <w:pPr>
        <w:pStyle w:val="normal0"/>
        <w:spacing w:after="200"/>
        <w:rPr>
          <w:rFonts w:ascii="Calibri" w:eastAsia="Calibri" w:hAnsi="Calibri" w:cs="Calibri"/>
          <w:sz w:val="22"/>
          <w:szCs w:val="22"/>
        </w:rPr>
      </w:pPr>
      <w:r w:rsidRPr="002A077C">
        <w:rPr>
          <w:rFonts w:ascii="Calibri" w:eastAsia="Calibri" w:hAnsi="Calibri" w:cs="Calibri"/>
          <w:sz w:val="22"/>
          <w:szCs w:val="22"/>
        </w:rPr>
        <w:t>Recommendations</w:t>
      </w:r>
      <w:r w:rsidR="006A6B37">
        <w:rPr>
          <w:rFonts w:ascii="Calibri" w:eastAsia="Calibri" w:hAnsi="Calibri" w:cs="Calibri"/>
          <w:sz w:val="22"/>
          <w:szCs w:val="22"/>
        </w:rPr>
        <w:t xml:space="preserve"> </w:t>
      </w:r>
      <w:r w:rsidR="006A6B37" w:rsidRPr="006A6B37">
        <w:rPr>
          <w:rFonts w:ascii="Calibri" w:eastAsia="Calibri" w:hAnsi="Calibri" w:cs="Calibri"/>
          <w:sz w:val="22"/>
          <w:szCs w:val="22"/>
        </w:rPr>
        <w:t>regarding updates to SO/AC Policies and Procedures</w:t>
      </w:r>
      <w:r w:rsidRPr="002A077C">
        <w:rPr>
          <w:rFonts w:ascii="Calibri" w:eastAsia="Calibri" w:hAnsi="Calibri" w:cs="Calibri"/>
          <w:sz w:val="22"/>
          <w:szCs w:val="22"/>
        </w:rPr>
        <w:t>:</w:t>
      </w:r>
    </w:p>
    <w:p w14:paraId="06589F2E" w14:textId="6A394130" w:rsidR="002A077C" w:rsidRPr="002A077C" w:rsidRDefault="009E7B95" w:rsidP="006A5878">
      <w:pPr>
        <w:pStyle w:val="normal0"/>
        <w:numPr>
          <w:ilvl w:val="0"/>
          <w:numId w:val="23"/>
        </w:numPr>
        <w:spacing w:after="20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3" w:name="_Toc349068886"/>
      <w:bookmarkStart w:id="24" w:name="_Toc349128818"/>
      <w:r>
        <w:br w:type="page"/>
      </w:r>
    </w:p>
    <w:p w14:paraId="74746685" w14:textId="4FB453A8" w:rsidR="00E17D88" w:rsidRPr="00E17D88" w:rsidRDefault="00E17D88" w:rsidP="00C840F4">
      <w:pPr>
        <w:pStyle w:val="Heading2"/>
      </w:pPr>
      <w:bookmarkStart w:id="25" w:name="_Toc349130296"/>
      <w:r w:rsidRPr="00E17D88">
        <w:lastRenderedPageBreak/>
        <w:t>Track 2.  Evaluate the proposed “Mutual Accountability Roundtable” to assess its viability and, if viable, undertake the necessary actions to implement it.</w:t>
      </w:r>
      <w:bookmarkEnd w:id="23"/>
      <w:bookmarkEnd w:id="24"/>
      <w:bookmarkEnd w:id="25"/>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6418D882"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7777777"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 xml:space="preserve">SO and AC chairs have a standing email list and may convene calls and meetings at any time. That creates an appropriate and adequate forum for sharing of experiences and best practices on accountability 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6" w:name="_Toc349068887"/>
      <w:bookmarkStart w:id="27" w:name="_Toc349128819"/>
      <w:bookmarkStart w:id="28" w:name="_Toc349130297"/>
      <w:r w:rsidRPr="00E17D88">
        <w:lastRenderedPageBreak/>
        <w:t>Track 3. Assess whether the Independent Review Process (IRP) should be applied to SO &amp; AC activities.</w:t>
      </w:r>
      <w:bookmarkEnd w:id="26"/>
      <w:bookmarkEnd w:id="27"/>
      <w:bookmarkEnd w:id="28"/>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7599EB7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In Section 4.3.b.B (ii) "Covered Actions" are defined as any actions or failures to act by or within ICANN committed by the Board, individual Directors, Officers, or Staff members that give rise to a Dispute.” 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judgement. But when the panel awards costs, it can escalate and SO/AC might not have a budget to cover such costs. </w:t>
      </w:r>
    </w:p>
    <w:p w14:paraId="19C90D7C"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not be made applicable to SO &amp; AC activities.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16"/>
      <w:footerReference w:type="default" r:id="rId117"/>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884A3E" w:rsidRDefault="00884A3E" w:rsidP="008A3007">
      <w:r>
        <w:separator/>
      </w:r>
    </w:p>
  </w:endnote>
  <w:endnote w:type="continuationSeparator" w:id="0">
    <w:p w14:paraId="2A4F810E" w14:textId="77777777" w:rsidR="00884A3E" w:rsidRDefault="00884A3E"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884A3E" w:rsidRPr="008A3007" w:rsidRDefault="00884A3E"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AE1C20">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AE1C20">
      <w:rPr>
        <w:rFonts w:asciiTheme="majorHAnsi" w:hAnsiTheme="majorHAnsi" w:cs="Times New Roman"/>
        <w:noProof/>
        <w:sz w:val="20"/>
        <w:szCs w:val="20"/>
      </w:rPr>
      <w:t>1</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884A3E" w:rsidRDefault="00884A3E" w:rsidP="008A3007">
      <w:r>
        <w:separator/>
      </w:r>
    </w:p>
  </w:footnote>
  <w:footnote w:type="continuationSeparator" w:id="0">
    <w:p w14:paraId="5A6201D6" w14:textId="77777777" w:rsidR="00884A3E" w:rsidRDefault="00884A3E" w:rsidP="008A3007">
      <w:r>
        <w:continuationSeparator/>
      </w:r>
    </w:p>
  </w:footnote>
  <w:footnote w:id="1">
    <w:p w14:paraId="38FCD8CC" w14:textId="77777777" w:rsidR="00884A3E" w:rsidRPr="0004172C" w:rsidRDefault="00884A3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884A3E" w:rsidRPr="0004172C" w:rsidRDefault="00884A3E"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884A3E" w:rsidRPr="0004172C" w:rsidRDefault="00884A3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884A3E" w:rsidRPr="0004172C" w:rsidRDefault="00884A3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884A3E" w:rsidRPr="00AE6146" w:rsidRDefault="00884A3E"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884A3E" w:rsidRDefault="00884A3E"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13A216A3" w:rsidR="00884A3E" w:rsidRPr="008A3007" w:rsidRDefault="00884A3E"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 as of 19-Feb-2016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F026F"/>
    <w:multiLevelType w:val="hybridMultilevel"/>
    <w:tmpl w:val="252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BE5472"/>
    <w:multiLevelType w:val="multilevel"/>
    <w:tmpl w:val="B0AEB5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67643AEB"/>
    <w:multiLevelType w:val="multilevel"/>
    <w:tmpl w:val="23F4A4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1F5CAE"/>
    <w:multiLevelType w:val="multilevel"/>
    <w:tmpl w:val="A8EE22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5"/>
  </w:num>
  <w:num w:numId="2">
    <w:abstractNumId w:val="55"/>
  </w:num>
  <w:num w:numId="3">
    <w:abstractNumId w:val="15"/>
  </w:num>
  <w:num w:numId="4">
    <w:abstractNumId w:val="6"/>
  </w:num>
  <w:num w:numId="5">
    <w:abstractNumId w:val="0"/>
  </w:num>
  <w:num w:numId="6">
    <w:abstractNumId w:val="4"/>
  </w:num>
  <w:num w:numId="7">
    <w:abstractNumId w:val="57"/>
  </w:num>
  <w:num w:numId="8">
    <w:abstractNumId w:val="41"/>
  </w:num>
  <w:num w:numId="9">
    <w:abstractNumId w:val="51"/>
  </w:num>
  <w:num w:numId="10">
    <w:abstractNumId w:val="37"/>
  </w:num>
  <w:num w:numId="11">
    <w:abstractNumId w:val="50"/>
  </w:num>
  <w:num w:numId="12">
    <w:abstractNumId w:val="27"/>
  </w:num>
  <w:num w:numId="13">
    <w:abstractNumId w:val="23"/>
  </w:num>
  <w:num w:numId="14">
    <w:abstractNumId w:val="54"/>
  </w:num>
  <w:num w:numId="15">
    <w:abstractNumId w:val="12"/>
  </w:num>
  <w:num w:numId="16">
    <w:abstractNumId w:val="46"/>
  </w:num>
  <w:num w:numId="17">
    <w:abstractNumId w:val="40"/>
  </w:num>
  <w:num w:numId="18">
    <w:abstractNumId w:val="32"/>
  </w:num>
  <w:num w:numId="19">
    <w:abstractNumId w:val="21"/>
  </w:num>
  <w:num w:numId="20">
    <w:abstractNumId w:val="5"/>
  </w:num>
  <w:num w:numId="21">
    <w:abstractNumId w:val="29"/>
  </w:num>
  <w:num w:numId="22">
    <w:abstractNumId w:val="49"/>
  </w:num>
  <w:num w:numId="23">
    <w:abstractNumId w:val="36"/>
  </w:num>
  <w:num w:numId="24">
    <w:abstractNumId w:val="9"/>
  </w:num>
  <w:num w:numId="25">
    <w:abstractNumId w:val="10"/>
  </w:num>
  <w:num w:numId="26">
    <w:abstractNumId w:val="17"/>
  </w:num>
  <w:num w:numId="27">
    <w:abstractNumId w:val="38"/>
  </w:num>
  <w:num w:numId="28">
    <w:abstractNumId w:val="20"/>
  </w:num>
  <w:num w:numId="29">
    <w:abstractNumId w:val="3"/>
  </w:num>
  <w:num w:numId="30">
    <w:abstractNumId w:val="35"/>
  </w:num>
  <w:num w:numId="31">
    <w:abstractNumId w:val="26"/>
  </w:num>
  <w:num w:numId="32">
    <w:abstractNumId w:val="18"/>
  </w:num>
  <w:num w:numId="33">
    <w:abstractNumId w:val="34"/>
  </w:num>
  <w:num w:numId="34">
    <w:abstractNumId w:val="19"/>
  </w:num>
  <w:num w:numId="35">
    <w:abstractNumId w:val="22"/>
  </w:num>
  <w:num w:numId="36">
    <w:abstractNumId w:val="28"/>
  </w:num>
  <w:num w:numId="37">
    <w:abstractNumId w:val="13"/>
  </w:num>
  <w:num w:numId="38">
    <w:abstractNumId w:val="1"/>
  </w:num>
  <w:num w:numId="39">
    <w:abstractNumId w:val="7"/>
  </w:num>
  <w:num w:numId="40">
    <w:abstractNumId w:val="53"/>
  </w:num>
  <w:num w:numId="41">
    <w:abstractNumId w:val="39"/>
  </w:num>
  <w:num w:numId="42">
    <w:abstractNumId w:val="43"/>
  </w:num>
  <w:num w:numId="43">
    <w:abstractNumId w:val="31"/>
  </w:num>
  <w:num w:numId="44">
    <w:abstractNumId w:val="25"/>
  </w:num>
  <w:num w:numId="45">
    <w:abstractNumId w:val="42"/>
  </w:num>
  <w:num w:numId="46">
    <w:abstractNumId w:val="33"/>
  </w:num>
  <w:num w:numId="47">
    <w:abstractNumId w:val="56"/>
  </w:num>
  <w:num w:numId="48">
    <w:abstractNumId w:val="30"/>
  </w:num>
  <w:num w:numId="49">
    <w:abstractNumId w:val="2"/>
  </w:num>
  <w:num w:numId="50">
    <w:abstractNumId w:val="8"/>
  </w:num>
  <w:num w:numId="51">
    <w:abstractNumId w:val="47"/>
  </w:num>
  <w:num w:numId="52">
    <w:abstractNumId w:val="52"/>
  </w:num>
  <w:num w:numId="53">
    <w:abstractNumId w:val="24"/>
  </w:num>
  <w:num w:numId="54">
    <w:abstractNumId w:val="14"/>
  </w:num>
  <w:num w:numId="55">
    <w:abstractNumId w:val="11"/>
  </w:num>
  <w:num w:numId="56">
    <w:abstractNumId w:val="44"/>
  </w:num>
  <w:num w:numId="57">
    <w:abstractNumId w:val="16"/>
  </w:num>
  <w:num w:numId="58">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172C"/>
    <w:rsid w:val="00055807"/>
    <w:rsid w:val="000F3BA5"/>
    <w:rsid w:val="00104141"/>
    <w:rsid w:val="001307AD"/>
    <w:rsid w:val="0013162C"/>
    <w:rsid w:val="0015523C"/>
    <w:rsid w:val="001837AC"/>
    <w:rsid w:val="001C5BCF"/>
    <w:rsid w:val="002120B5"/>
    <w:rsid w:val="002A077C"/>
    <w:rsid w:val="0030492E"/>
    <w:rsid w:val="0033123F"/>
    <w:rsid w:val="0034267D"/>
    <w:rsid w:val="00362679"/>
    <w:rsid w:val="003A1F67"/>
    <w:rsid w:val="003C0400"/>
    <w:rsid w:val="003D660B"/>
    <w:rsid w:val="00415BCC"/>
    <w:rsid w:val="00471165"/>
    <w:rsid w:val="004B0649"/>
    <w:rsid w:val="004B4920"/>
    <w:rsid w:val="004B5D35"/>
    <w:rsid w:val="005042B5"/>
    <w:rsid w:val="00510D5A"/>
    <w:rsid w:val="00511901"/>
    <w:rsid w:val="00533A9B"/>
    <w:rsid w:val="00567EA6"/>
    <w:rsid w:val="005D7564"/>
    <w:rsid w:val="005F4474"/>
    <w:rsid w:val="00601F8A"/>
    <w:rsid w:val="006134BF"/>
    <w:rsid w:val="006A5878"/>
    <w:rsid w:val="006A6B37"/>
    <w:rsid w:val="006E27BF"/>
    <w:rsid w:val="00700632"/>
    <w:rsid w:val="007529DA"/>
    <w:rsid w:val="007B7C5A"/>
    <w:rsid w:val="00805AFA"/>
    <w:rsid w:val="00815297"/>
    <w:rsid w:val="00816091"/>
    <w:rsid w:val="008320E0"/>
    <w:rsid w:val="00884A3E"/>
    <w:rsid w:val="008A3007"/>
    <w:rsid w:val="008C3514"/>
    <w:rsid w:val="00932A7E"/>
    <w:rsid w:val="00957D42"/>
    <w:rsid w:val="009903FD"/>
    <w:rsid w:val="009B51FD"/>
    <w:rsid w:val="009D411D"/>
    <w:rsid w:val="009E7B95"/>
    <w:rsid w:val="009F1CED"/>
    <w:rsid w:val="00A217AE"/>
    <w:rsid w:val="00A97B7C"/>
    <w:rsid w:val="00AE1C20"/>
    <w:rsid w:val="00AE6146"/>
    <w:rsid w:val="00AF3BE1"/>
    <w:rsid w:val="00B554E3"/>
    <w:rsid w:val="00B62B30"/>
    <w:rsid w:val="00B87E22"/>
    <w:rsid w:val="00BA57CE"/>
    <w:rsid w:val="00BC2614"/>
    <w:rsid w:val="00BC4408"/>
    <w:rsid w:val="00BE197F"/>
    <w:rsid w:val="00BF5395"/>
    <w:rsid w:val="00C15F4D"/>
    <w:rsid w:val="00C216AF"/>
    <w:rsid w:val="00C34044"/>
    <w:rsid w:val="00C6243D"/>
    <w:rsid w:val="00C840F4"/>
    <w:rsid w:val="00D45DD6"/>
    <w:rsid w:val="00D566B6"/>
    <w:rsid w:val="00DA44EF"/>
    <w:rsid w:val="00DF571B"/>
    <w:rsid w:val="00E17D88"/>
    <w:rsid w:val="00E40044"/>
    <w:rsid w:val="00E420E0"/>
    <w:rsid w:val="00F15F80"/>
    <w:rsid w:val="00F76D98"/>
    <w:rsid w:val="00F85886"/>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nso.icann.org/en/council/op-procedures-%2001sep16-en.pdf" TargetMode="External"/><Relationship Id="rId60" Type="http://schemas.openxmlformats.org/officeDocument/2006/relationships/hyperlink" Target="http://www.npoc.org" TargetMode="External"/><Relationship Id="rId61" Type="http://schemas.openxmlformats.org/officeDocument/2006/relationships/hyperlink" Target="http://www.npoc.org/media/files/NPOC_Charter_Approved_06-24-2011.pdf" TargetMode="External"/><Relationship Id="rId62" Type="http://schemas.openxmlformats.org/officeDocument/2006/relationships/hyperlink" Target="http://icannregistrars.org" TargetMode="External"/><Relationship Id="rId63" Type="http://schemas.openxmlformats.org/officeDocument/2006/relationships/hyperlink" Target="http://icannregistrars.org/charter/" TargetMode="External"/><Relationship Id="rId64" Type="http://schemas.openxmlformats.org/officeDocument/2006/relationships/hyperlink" Target="https://gnso.icann.org/en/about/stakeholders-constituencies/rysg" TargetMode="External"/><Relationship Id="rId65" Type="http://schemas.openxmlformats.org/officeDocument/2006/relationships/hyperlink" Target="https://gnso.icann.org/en/meetings/rysg-charter-22oct15-en.pdf" TargetMode="External"/><Relationship Id="rId66" Type="http://schemas.openxmlformats.org/officeDocument/2006/relationships/hyperlink" Target="https://www.icann.org/resources/pages/charter-2013-07-14-en" TargetMode="External"/><Relationship Id="rId67" Type="http://schemas.openxmlformats.org/officeDocument/2006/relationships/hyperlink" Target="https://www.icann.org/groups/ssac/charter" TargetMode="External"/><Relationship Id="rId68" Type="http://schemas.openxmlformats.org/officeDocument/2006/relationships/hyperlink" Target="https://www.icann.org/en/system/files/files/operational-procedures-20jun16-en.pdf" TargetMode="External"/><Relationship Id="rId69" Type="http://schemas.openxmlformats.org/officeDocument/2006/relationships/hyperlink" Target="https://www.icann.org/en/system/files/files/operational-procedures-20jun16-en.pdf" TargetMode="External"/><Relationship Id="rId40" Type="http://schemas.openxmlformats.org/officeDocument/2006/relationships/hyperlink" Target="http://www.ipconstituency.org/bylaws" TargetMode="External"/><Relationship Id="rId41" Type="http://schemas.openxmlformats.org/officeDocument/2006/relationships/hyperlink" Target="http://www.ipconstituency.org/current-membership" TargetMode="External"/><Relationship Id="rId42" Type="http://schemas.openxmlformats.org/officeDocument/2006/relationships/hyperlink" Target="http://www.ipconstituency.org/officers" TargetMode="External"/><Relationship Id="rId90" Type="http://schemas.openxmlformats.org/officeDocument/2006/relationships/hyperlink" Target="https://community.icann.org/x/zw2OAw" TargetMode="External"/><Relationship Id="rId91" Type="http://schemas.openxmlformats.org/officeDocument/2006/relationships/hyperlink" Target="https://community.icann.org/x/GgybAw" TargetMode="External"/><Relationship Id="rId92" Type="http://schemas.openxmlformats.org/officeDocument/2006/relationships/hyperlink" Target="https://community.icann.org/x/GgybAw7" TargetMode="External"/><Relationship Id="rId93" Type="http://schemas.openxmlformats.org/officeDocument/2006/relationships/hyperlink" Target="https://community.icann.org/x/4hK4Aw" TargetMode="External"/><Relationship Id="rId94" Type="http://schemas.openxmlformats.org/officeDocument/2006/relationships/hyperlink" Target="https://ipc.memberclicks.net/assets/FactSheets/ipc_onepager_2016.pdf" TargetMode="External"/><Relationship Id="rId95" Type="http://schemas.openxmlformats.org/officeDocument/2006/relationships/hyperlink" Target="https://community.icann.org/x/2w2OAw" TargetMode="External"/><Relationship Id="rId96" Type="http://schemas.openxmlformats.org/officeDocument/2006/relationships/hyperlink" Target="http://www.ispcp.info/ispcp-bulletin" TargetMode="External"/><Relationship Id="rId101" Type="http://schemas.openxmlformats.org/officeDocument/2006/relationships/hyperlink" Target="https://gnso.icann.org/en/about/stakeholders-constituencies/rysg" TargetMode="External"/><Relationship Id="rId102" Type="http://schemas.openxmlformats.org/officeDocument/2006/relationships/hyperlink" Target="https://gnso.icann.org/en/meetings/rysg-charter-22oct15-en.pdf" TargetMode="External"/><Relationship Id="rId103" Type="http://schemas.openxmlformats.org/officeDocument/2006/relationships/hyperlink" Target="https://www.icann.org/resources/pages/charter-2013-07-14-en" TargetMode="External"/><Relationship Id="rId104" Type="http://schemas.openxmlformats.org/officeDocument/2006/relationships/hyperlink" Target="https://aso.icann.org/documents/memorandums-of-understanding/memorandum-of-understanding/" TargetMode="External"/><Relationship Id="rId105" Type="http://schemas.openxmlformats.org/officeDocument/2006/relationships/hyperlink" Target="https://www.icann.org/resources/pages/bylaws-" TargetMode="External"/><Relationship Id="rId106" Type="http://schemas.openxmlformats.org/officeDocument/2006/relationships/hyperlink" Target="https://www.nro.net/news/request-for-proposals-for-consulting-services-independent-review-of-the-icann-address-supporting-organisation" TargetMode="External"/><Relationship Id="rId107" Type="http://schemas.openxmlformats.org/officeDocument/2006/relationships/hyperlink" Target="https://www.icann.org/resources/reviews/org/aso" TargetMode="External"/><Relationship Id="rId108" Type="http://schemas.openxmlformats.org/officeDocument/2006/relationships/hyperlink" Target="https://www.nro.net/wp-content/uploads/ASO-Review-Report-2012.pdf" TargetMode="External"/><Relationship Id="rId109" Type="http://schemas.openxmlformats.org/officeDocument/2006/relationships/hyperlink" Target="http://www.bizconst.org/assets/docs/Charter/bc%20charter%20v3%200-final%20draft%20v5.pdf" TargetMode="External"/><Relationship Id="rId97" Type="http://schemas.openxmlformats.org/officeDocument/2006/relationships/hyperlink" Target="http://www.npoc.org" TargetMode="External"/><Relationship Id="rId98" Type="http://schemas.openxmlformats.org/officeDocument/2006/relationships/hyperlink" Target="http://www.npoc.org/media/files/NPOC_Charter_Approved_06-24-2011.pdf" TargetMode="External"/><Relationship Id="rId99" Type="http://schemas.openxmlformats.org/officeDocument/2006/relationships/hyperlink" Target="http://icannregistrars.org" TargetMode="External"/><Relationship Id="rId43" Type="http://schemas.openxmlformats.org/officeDocument/2006/relationships/hyperlink" Target="http://www.ipconstituency.org/public-comments" TargetMode="External"/><Relationship Id="rId44" Type="http://schemas.openxmlformats.org/officeDocument/2006/relationships/hyperlink" Target="http://mm.icann.org/pipermail/ipc-gnso/" TargetMode="External"/><Relationship Id="rId45" Type="http://schemas.openxmlformats.org/officeDocument/2006/relationships/hyperlink" Target="http://www.ipconstituency.org/meeting-minutes" TargetMode="External"/><Relationship Id="rId46" Type="http://schemas.openxmlformats.org/officeDocument/2006/relationships/hyperlink" Target="https://community.icann.org/pages/viewpage.action?pageId=27854098" TargetMode="External"/><Relationship Id="rId47" Type="http://schemas.openxmlformats.org/officeDocument/2006/relationships/hyperlink" Target="https://gnso.icann.org/en/about/stakeholders-constituencies/csg/isp" TargetMode="External"/><Relationship Id="rId48" Type="http://schemas.openxmlformats.org/officeDocument/2006/relationships/hyperlink" Target="https://community.icann.org/pages/viewpage.action?pageId=27853808" TargetMode="External"/><Relationship Id="rId49" Type="http://schemas.openxmlformats.org/officeDocument/2006/relationships/hyperlink" Target="https://community.icann.org/display/gnsononcomstake/Charter" TargetMode="External"/><Relationship Id="rId100" Type="http://schemas.openxmlformats.org/officeDocument/2006/relationships/hyperlink" Target="http://icannregistrars.org/charter/" TargetMode="External"/><Relationship Id="rId20" Type="http://schemas.openxmlformats.org/officeDocument/2006/relationships/hyperlink" Target="http://www.bizconst.org/assets/docs/ICANNCSGCharter2010.pdf" TargetMode="External"/><Relationship Id="rId21" Type="http://schemas.openxmlformats.org/officeDocument/2006/relationships/hyperlink" Target="http://www.ncuc.org/about/members/" TargetMode="External"/><Relationship Id="rId22" Type="http://schemas.openxmlformats.org/officeDocument/2006/relationships/hyperlink" Target="http://www.ncuc.org/governance/bylaws/bylaws-revision-2016/differential-document" TargetMode="External"/><Relationship Id="rId70" Type="http://schemas.openxmlformats.org/officeDocument/2006/relationships/hyperlink" Target="https://www.icann.org/resources/pages/ssac-biographies-2016-12-15-en" TargetMode="External"/><Relationship Id="rId71" Type="http://schemas.openxmlformats.org/officeDocument/2006/relationships/hyperlink" Target="https://www.icann.org/groups/ssac" TargetMode="External"/><Relationship Id="rId72" Type="http://schemas.openxmlformats.org/officeDocument/2006/relationships/hyperlink" Target="https://www.icann.org/groups/ssac/documents" TargetMode="External"/><Relationship Id="rId73" Type="http://schemas.openxmlformats.org/officeDocument/2006/relationships/hyperlink" Target="https://www.icann.org/resources/pages/ssac-correspondence-2016-01-08-en" TargetMode="External"/><Relationship Id="rId74" Type="http://schemas.openxmlformats.org/officeDocument/2006/relationships/hyperlink" Target="https://www.nro.net/about-the-nro/rir-accountability" TargetMode="External"/><Relationship Id="rId75" Type="http://schemas.openxmlformats.org/officeDocument/2006/relationships/hyperlink" Target="https://aso.icann.org/about-the-" TargetMode="External"/><Relationship Id="rId76" Type="http://schemas.openxmlformats.org/officeDocument/2006/relationships/hyperlink" Target="https://aso.icann.org/contact/aso-mailinglists/" TargetMode="External"/><Relationship Id="rId77" Type="http://schemas.openxmlformats.org/officeDocument/2006/relationships/hyperlink" Target="http://www.bizconst.org/charter" TargetMode="External"/><Relationship Id="rId78" Type="http://schemas.openxmlformats.org/officeDocument/2006/relationships/hyperlink" Target="mailto:info-bc@icann.org)" TargetMode="External"/><Relationship Id="rId79" Type="http://schemas.openxmlformats.org/officeDocument/2006/relationships/hyperlink" Target="http://www.bizconst.org/bc-membership-list" TargetMode="External"/><Relationship Id="rId23" Type="http://schemas.openxmlformats.org/officeDocument/2006/relationships/hyperlink" Target="http://www.npoc.org" TargetMode="External"/><Relationship Id="rId24" Type="http://schemas.openxmlformats.org/officeDocument/2006/relationships/hyperlink" Target="http://www.npoc.org/media/files/NPOC_Charter_Approved_06-24-2011.pdf" TargetMode="External"/><Relationship Id="rId25" Type="http://schemas.openxmlformats.org/officeDocument/2006/relationships/hyperlink" Target="http://icannregistrars.org" TargetMode="External"/><Relationship Id="rId26" Type="http://schemas.openxmlformats.org/officeDocument/2006/relationships/hyperlink" Target="http://icannregistrars.org/charter/" TargetMode="External"/><Relationship Id="rId27" Type="http://schemas.openxmlformats.org/officeDocument/2006/relationships/hyperlink" Target="https://gnso.icann.org/en/about/stakeholders-constituencies/rysg" TargetMode="External"/><Relationship Id="rId28" Type="http://schemas.openxmlformats.org/officeDocument/2006/relationships/hyperlink" Target="https://gnso.icann.org/en/meetings/rysg-charter-22oct15-en.pdf" TargetMode="External"/><Relationship Id="rId29" Type="http://schemas.openxmlformats.org/officeDocument/2006/relationships/hyperlink" Target="https://www.icann.org/resources/pages/charter-2013-07-14-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50" Type="http://schemas.openxmlformats.org/officeDocument/2006/relationships/hyperlink" Target="https://docs.google.com/spreadsheets/d/1o0n2H5xkTPmon8K8wbFg0dAZTouHWgkWjcyNsSs_YXw/edit" TargetMode="External"/><Relationship Id="rId51" Type="http://schemas.openxmlformats.org/officeDocument/2006/relationships/hyperlink" Target="https://community.icann.org/display/gnsononcomstake/Leadership+Team" TargetMode="External"/><Relationship Id="rId52" Type="http://schemas.openxmlformats.org/officeDocument/2006/relationships/hyperlink" Target="https://community.icann.org/display/gnsononcomstake/Meeting+Records" TargetMode="External"/><Relationship Id="rId53" Type="http://schemas.openxmlformats.org/officeDocument/2006/relationships/hyperlink" Target="http://www.ncuc.org/governance/bylaws/bylaws-revision-2016/differential-document/" TargetMode="External"/><Relationship Id="rId54" Type="http://schemas.openxmlformats.org/officeDocument/2006/relationships/hyperlink" Target="http://www.ncuc.org/about/members/" TargetMode="External"/><Relationship Id="rId55" Type="http://schemas.openxmlformats.org/officeDocument/2006/relationships/hyperlink" Target="http://www.ncuc.org/governance/executive-committee/"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lists.ncuc.org/cgi-bin/mailman/listinfo" TargetMode="External"/><Relationship Id="rId59" Type="http://schemas.openxmlformats.org/officeDocument/2006/relationships/hyperlink" Target="http://www.ncuc.org/policy/statements/" TargetMode="External"/><Relationship Id="rId110" Type="http://schemas.openxmlformats.org/officeDocument/2006/relationships/hyperlink" Target="http://www.npoc.org" TargetMode="External"/><Relationship Id="rId111" Type="http://schemas.openxmlformats.org/officeDocument/2006/relationships/hyperlink" Target="http://www.npoc.org/media/files/NPOC_Charter_Approved_06-24-2011.pdf" TargetMode="External"/><Relationship Id="rId112" Type="http://schemas.openxmlformats.org/officeDocument/2006/relationships/hyperlink" Target="http://icannregistrars.org" TargetMode="External"/><Relationship Id="rId113" Type="http://schemas.openxmlformats.org/officeDocument/2006/relationships/hyperlink" Target="http://icannregistrars.org/charter/" TargetMode="External"/><Relationship Id="rId114" Type="http://schemas.openxmlformats.org/officeDocument/2006/relationships/hyperlink" Target="https://gnso.icann.org/en/about/stakeholders-constituencies/rysg" TargetMode="External"/><Relationship Id="rId115" Type="http://schemas.openxmlformats.org/officeDocument/2006/relationships/hyperlink" Target="https://gnso.icann.org/en/meetings/rysg-charter-22oct15-en.pdf" TargetMode="External"/><Relationship Id="rId116" Type="http://schemas.openxmlformats.org/officeDocument/2006/relationships/header" Target="header1.xml"/><Relationship Id="rId117" Type="http://schemas.openxmlformats.org/officeDocument/2006/relationships/footer" Target="footer1.xml"/><Relationship Id="rId118" Type="http://schemas.openxmlformats.org/officeDocument/2006/relationships/fontTable" Target="fontTable.xml"/><Relationship Id="rId119" Type="http://schemas.openxmlformats.org/officeDocument/2006/relationships/theme" Target="theme/theme1.xml"/><Relationship Id="rId30" Type="http://schemas.openxmlformats.org/officeDocument/2006/relationships/hyperlink" Target="https://community.icann.org/display/atlarge/Rules+of+Procedure" TargetMode="External"/><Relationship Id="rId31" Type="http://schemas.openxmlformats.org/officeDocument/2006/relationships/hyperlink" Target="https://atlarge.icann.org/alses" TargetMode="External"/><Relationship Id="rId32" Type="http://schemas.openxmlformats.org/officeDocument/2006/relationships/hyperlink" Target="https://www.nro.net/about-the-nro/regional-internet-registries" TargetMode="External"/><Relationship Id="rId33" Type="http://schemas.openxmlformats.org/officeDocument/2006/relationships/hyperlink" Target="https://ccnso.icann.org/about/guidelines.htm" TargetMode="External"/><Relationship Id="rId34" Type="http://schemas.openxmlformats.org/officeDocument/2006/relationships/hyperlink" Target="https://gacweb.icann.org/display/gacweb/GAC+Operating+Principles" TargetMode="External"/><Relationship Id="rId35" Type="http://schemas.openxmlformats.org/officeDocument/2006/relationships/hyperlink" Target="https://gnso.icann.org/en/council/op-procedures-01sep16-en.pdf" TargetMode="External"/><Relationship Id="rId36" Type="http://schemas.openxmlformats.org/officeDocument/2006/relationships/hyperlink" Target="http://www.bizconst.org/charter" TargetMode="External"/><Relationship Id="rId37" Type="http://schemas.openxmlformats.org/officeDocument/2006/relationships/hyperlink" Target="http://www.bizconst.org/bc-membership-list" TargetMode="External"/><Relationship Id="rId38" Type="http://schemas.openxmlformats.org/officeDocument/2006/relationships/hyperlink" Target="https://forum.icann.org/lists/bc-gnso/" TargetMode="External"/><Relationship Id="rId39" Type="http://schemas.openxmlformats.org/officeDocument/2006/relationships/hyperlink" Target="https://forum.icann.org/lists/bc-gnso/" TargetMode="External"/><Relationship Id="rId80" Type="http://schemas.openxmlformats.org/officeDocument/2006/relationships/hyperlink" Target="http://www.ncuc.org/governance/bylaws/" TargetMode="External"/><Relationship Id="rId81" Type="http://schemas.openxmlformats.org/officeDocument/2006/relationships/hyperlink" Target="http://www.npoc.org" TargetMode="External"/><Relationship Id="rId82" Type="http://schemas.openxmlformats.org/officeDocument/2006/relationships/hyperlink" Target="http://www.npoc.org/media/files/NPOC_Charter_Approved_06-24-2011.pdf" TargetMode="External"/><Relationship Id="rId83" Type="http://schemas.openxmlformats.org/officeDocument/2006/relationships/hyperlink" Target="http://icannregistrars.org" TargetMode="External"/><Relationship Id="rId84" Type="http://schemas.openxmlformats.org/officeDocument/2006/relationships/hyperlink" Target="http://icannregistrars.org/charter/" TargetMode="External"/><Relationship Id="rId85" Type="http://schemas.openxmlformats.org/officeDocument/2006/relationships/hyperlink" Target="https://gnso.icann.org/en/about/stakeholders-constituencies/rysg" TargetMode="External"/><Relationship Id="rId86" Type="http://schemas.openxmlformats.org/officeDocument/2006/relationships/hyperlink" Target="https://gnso.icann.org/en/meetings/rysg-charter-22oct15-en.pdf" TargetMode="External"/><Relationship Id="rId87" Type="http://schemas.openxmlformats.org/officeDocument/2006/relationships/hyperlink" Target="https://www.icann.org/resources/pages/charter-2013-07-14-en" TargetMode="External"/><Relationship Id="rId88" Type="http://schemas.openxmlformats.org/officeDocument/2006/relationships/hyperlink" Target="https://www.ripe.net/participate/internet-governance/internet-" TargetMode="External"/><Relationship Id="rId89" Type="http://schemas.openxmlformats.org/officeDocument/2006/relationships/hyperlink" Target="http://www.bizconst.org/newslett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955</TotalTime>
  <Pages>25</Pages>
  <Words>11982</Words>
  <Characters>68300</Characters>
  <Application>Microsoft Macintosh Word</Application>
  <DocSecurity>0</DocSecurity>
  <Lines>569</Lines>
  <Paragraphs>160</Paragraphs>
  <ScaleCrop>false</ScaleCrop>
  <Company>NetChoice</Company>
  <LinksUpToDate>false</LinksUpToDate>
  <CharactersWithSpaces>80122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42</cp:revision>
  <cp:lastPrinted>2017-02-20T18:40:00Z</cp:lastPrinted>
  <dcterms:created xsi:type="dcterms:W3CDTF">2017-02-19T00:06:00Z</dcterms:created>
  <dcterms:modified xsi:type="dcterms:W3CDTF">2017-02-20T18:40:00Z</dcterms:modified>
</cp:coreProperties>
</file>