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3422356E"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b w:val="0"/>
          <w:i/>
          <w:smallCaps/>
          <w:sz w:val="20"/>
          <w:szCs w:val="20"/>
          <w:highlight w:val="yellow"/>
        </w:rPr>
        <w:fldChar w:fldCharType="begin"/>
      </w:r>
      <w:r w:rsidRPr="00287D74">
        <w:rPr>
          <w:rFonts w:asciiTheme="majorHAnsi" w:hAnsiTheme="majorHAnsi"/>
          <w:b w:val="0"/>
          <w:i/>
          <w:smallCaps/>
          <w:sz w:val="20"/>
          <w:szCs w:val="20"/>
          <w:highlight w:val="yellow"/>
        </w:rPr>
        <w:instrText xml:space="preserve"> TOC \o "1-3" </w:instrText>
      </w:r>
      <w:r w:rsidRPr="00287D74">
        <w:rPr>
          <w:rFonts w:asciiTheme="majorHAnsi" w:hAnsiTheme="majorHAnsi"/>
          <w:b w:val="0"/>
          <w:i/>
          <w:smallCaps/>
          <w:sz w:val="20"/>
          <w:szCs w:val="20"/>
          <w:highlight w:val="yellow"/>
        </w:rPr>
        <w:fldChar w:fldCharType="separate"/>
      </w:r>
      <w:r w:rsidRPr="00287D74">
        <w:rPr>
          <w:rFonts w:asciiTheme="majorHAnsi" w:hAnsiTheme="majorHAnsi"/>
          <w:noProof/>
          <w:sz w:val="20"/>
          <w:szCs w:val="20"/>
        </w:rPr>
        <w:t>The mandate for SO/AC Accountability in Work Stream 2 (WS2)</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_Toc361929834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2</w:t>
      </w:r>
      <w:r w:rsidRPr="00287D74">
        <w:rPr>
          <w:rFonts w:asciiTheme="majorHAnsi" w:hAnsiTheme="majorHAnsi"/>
          <w:noProof/>
          <w:sz w:val="20"/>
          <w:szCs w:val="20"/>
        </w:rPr>
        <w:fldChar w:fldCharType="end"/>
      </w:r>
    </w:p>
    <w:p w14:paraId="1F688618"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1. Review and develop recommendations to improve SO and AC processes for accountability, transparency, and participation that are helpful to prevent capture.</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_Toc361929835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4</w:t>
      </w:r>
      <w:r w:rsidRPr="00287D74">
        <w:rPr>
          <w:rFonts w:asciiTheme="majorHAnsi" w:hAnsiTheme="majorHAnsi"/>
          <w:noProof/>
          <w:sz w:val="20"/>
          <w:szCs w:val="20"/>
        </w:rPr>
        <w:fldChar w:fldCharType="end"/>
      </w:r>
    </w:p>
    <w:p w14:paraId="07ED04FD"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Summary of [Good Practice] Recommendations for Accountability, Transparency, and Participation within SO/AC/Groups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_Toc361929836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6</w:t>
      </w:r>
      <w:r w:rsidRPr="00287D74">
        <w:rPr>
          <w:rFonts w:asciiTheme="majorHAnsi" w:hAnsiTheme="majorHAnsi"/>
          <w:noProof/>
          <w:sz w:val="20"/>
          <w:szCs w:val="20"/>
        </w:rPr>
        <w:fldChar w:fldCharType="end"/>
      </w:r>
    </w:p>
    <w:p w14:paraId="2AE50F37"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Accountability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_Toc361929837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8</w:t>
      </w:r>
      <w:r w:rsidRPr="00287D74">
        <w:rPr>
          <w:rFonts w:asciiTheme="majorHAnsi" w:hAnsiTheme="majorHAnsi"/>
          <w:noProof/>
          <w:sz w:val="20"/>
          <w:szCs w:val="20"/>
        </w:rPr>
        <w:fldChar w:fldCharType="end"/>
      </w:r>
    </w:p>
    <w:p w14:paraId="30857863"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Transparency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_Toc361929838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14</w:t>
      </w:r>
      <w:r w:rsidRPr="00287D74">
        <w:rPr>
          <w:rFonts w:asciiTheme="majorHAnsi" w:hAnsiTheme="majorHAnsi"/>
          <w:noProof/>
          <w:sz w:val="20"/>
          <w:szCs w:val="20"/>
        </w:rPr>
        <w:fldChar w:fldCharType="end"/>
      </w:r>
    </w:p>
    <w:p w14:paraId="0B684BC7"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Participation</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_Toc361929839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19</w:t>
      </w:r>
      <w:r w:rsidRPr="00287D74">
        <w:rPr>
          <w:rFonts w:asciiTheme="majorHAnsi" w:hAnsiTheme="majorHAnsi"/>
          <w:noProof/>
          <w:sz w:val="20"/>
          <w:szCs w:val="20"/>
        </w:rPr>
        <w:fldChar w:fldCharType="end"/>
      </w:r>
    </w:p>
    <w:p w14:paraId="3B2FD4A7"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SO/AC/Group Outreach</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_Toc361929840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24</w:t>
      </w:r>
      <w:r w:rsidRPr="00287D74">
        <w:rPr>
          <w:rFonts w:asciiTheme="majorHAnsi" w:hAnsiTheme="majorHAnsi"/>
          <w:noProof/>
          <w:sz w:val="20"/>
          <w:szCs w:val="20"/>
        </w:rPr>
        <w:fldChar w:fldCharType="end"/>
      </w:r>
    </w:p>
    <w:p w14:paraId="34FDEFD2" w14:textId="7777777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Updates to SO/AC/Group Policies and Procedures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_Toc361929841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28</w:t>
      </w:r>
      <w:r w:rsidRPr="00287D74">
        <w:rPr>
          <w:rFonts w:asciiTheme="majorHAnsi" w:hAnsiTheme="majorHAnsi"/>
          <w:noProof/>
          <w:sz w:val="20"/>
          <w:szCs w:val="20"/>
        </w:rPr>
        <w:fldChar w:fldCharType="end"/>
      </w:r>
    </w:p>
    <w:p w14:paraId="0CE62D60"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2.  Evaluate the proposed “Mutual Accountability Roundtable” to assess its viability and, if viable, undertake the necessary actions to implement it.</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_Toc361929842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32</w:t>
      </w:r>
      <w:r w:rsidRPr="00287D74">
        <w:rPr>
          <w:rFonts w:asciiTheme="majorHAnsi" w:hAnsiTheme="majorHAnsi"/>
          <w:noProof/>
          <w:sz w:val="20"/>
          <w:szCs w:val="20"/>
        </w:rPr>
        <w:fldChar w:fldCharType="end"/>
      </w:r>
    </w:p>
    <w:p w14:paraId="7567666E"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3. Assess whether the Independent Review Process (IRP) should be applied to SO &amp; AC activities.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_Toc361929843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33</w:t>
      </w:r>
      <w:r w:rsidRPr="00287D74">
        <w:rPr>
          <w:rFonts w:asciiTheme="majorHAnsi" w:hAnsiTheme="majorHAnsi"/>
          <w:noProof/>
          <w:sz w:val="20"/>
          <w:szCs w:val="20"/>
        </w:rPr>
        <w:fldChar w:fldCharType="end"/>
      </w:r>
    </w:p>
    <w:p w14:paraId="1AD190C2" w14:textId="77777777"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Annex 1. Working Group Participants and activity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_Toc361929844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34</w:t>
      </w:r>
      <w:r w:rsidRPr="00287D74">
        <w:rPr>
          <w:rFonts w:asciiTheme="majorHAnsi" w:hAnsiTheme="majorHAnsi"/>
          <w:noProof/>
          <w:sz w:val="20"/>
          <w:szCs w:val="20"/>
        </w:rPr>
        <w:fldChar w:fldCharType="end"/>
      </w:r>
    </w:p>
    <w:p w14:paraId="2904F8DA" w14:textId="73143A3A" w:rsidR="00F15F80" w:rsidRPr="00F15F80" w:rsidRDefault="00287D74" w:rsidP="009A1D0C">
      <w:pPr>
        <w:spacing w:before="60"/>
      </w:pPr>
      <w:r w:rsidRPr="00287D74">
        <w:rPr>
          <w:rFonts w:asciiTheme="majorHAnsi" w:hAnsiTheme="majorHAnsi"/>
          <w:b/>
          <w:i/>
          <w:smallCaps/>
          <w:sz w:val="20"/>
          <w:szCs w:val="20"/>
          <w:highlight w:val="yellow"/>
        </w:rPr>
        <w:fldChar w:fldCharType="end"/>
      </w:r>
    </w:p>
    <w:p w14:paraId="5BC228EE" w14:textId="110D3A80" w:rsidR="00093A10" w:rsidRPr="00A8664E" w:rsidRDefault="00093A10" w:rsidP="00A8664E">
      <w:pPr>
        <w:rPr>
          <w:rFonts w:asciiTheme="majorHAnsi" w:hAnsiTheme="majorHAnsi"/>
          <w:b/>
        </w:rPr>
      </w:pPr>
      <w:bookmarkStart w:id="1" w:name="_Toc349068879"/>
      <w:bookmarkStart w:id="2" w:name="_Toc349128810"/>
      <w:r w:rsidRPr="00A8664E">
        <w:rPr>
          <w:rFonts w:asciiTheme="majorHAnsi" w:hAnsiTheme="majorHAnsi"/>
          <w:b/>
        </w:rPr>
        <w:t>Executive Summary</w:t>
      </w:r>
    </w:p>
    <w:p w14:paraId="68F9C120" w14:textId="79DCB5EF"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The SO/AC Accountability project for Work Stream 2 had its genesis at an early stage of the CCWG-Accountability track, when SO/AC representatives insisted on new powers to hold the ICANN corporation accountable to the global internet community.  ICANN board members and staff then asked, “What about SO/AC accountability?“  And as one of </w:t>
      </w:r>
      <w:r w:rsidR="00083680">
        <w:rPr>
          <w:rFonts w:asciiTheme="majorHAnsi" w:hAnsiTheme="majorHAnsi"/>
          <w:sz w:val="22"/>
          <w:szCs w:val="22"/>
        </w:rPr>
        <w:t>the</w:t>
      </w:r>
      <w:r w:rsidRPr="00794C04">
        <w:rPr>
          <w:rFonts w:asciiTheme="majorHAnsi" w:hAnsiTheme="majorHAnsi"/>
          <w:sz w:val="22"/>
          <w:szCs w:val="22"/>
        </w:rPr>
        <w:t xml:space="preserve"> independent experts asked, “Who watches the watchers?”  Those questions led to a creation of a Work Stream 2 project to recommend improvements to accountability, transparency, and participation within ICANN SOs</w:t>
      </w:r>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w:t>
      </w:r>
      <w:r w:rsidR="0039276C">
        <w:rPr>
          <w:rFonts w:asciiTheme="majorHAnsi" w:hAnsiTheme="majorHAnsi"/>
          <w:sz w:val="22"/>
          <w:szCs w:val="22"/>
        </w:rPr>
        <w:t>Group</w:t>
      </w:r>
      <w:r w:rsidR="00DD50BD">
        <w:rPr>
          <w:rFonts w:asciiTheme="majorHAnsi" w:hAnsiTheme="majorHAnsi"/>
          <w:sz w:val="22"/>
          <w:szCs w:val="22"/>
        </w:rPr>
        <w:t>s listed on page 5</w:t>
      </w:r>
      <w:r w:rsidRPr="00794C04">
        <w:rPr>
          <w:rFonts w:asciiTheme="majorHAnsi" w:hAnsiTheme="majorHAnsi"/>
          <w:sz w:val="22"/>
          <w:szCs w:val="22"/>
        </w:rPr>
        <w:t xml:space="preserve">.  </w:t>
      </w:r>
    </w:p>
    <w:p w14:paraId="604FE1BC" w14:textId="45D90530"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ACs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internet community that each </w:t>
      </w:r>
      <w:r w:rsidR="000243A6">
        <w:rPr>
          <w:rFonts w:asciiTheme="majorHAnsi" w:hAnsiTheme="majorHAnsi"/>
          <w:sz w:val="22"/>
          <w:szCs w:val="22"/>
        </w:rPr>
        <w:t>SO/AC</w:t>
      </w:r>
      <w:r w:rsidRPr="00794C04">
        <w:rPr>
          <w:rFonts w:asciiTheme="majorHAnsi" w:hAnsiTheme="majorHAnsi"/>
          <w:sz w:val="22"/>
          <w:szCs w:val="22"/>
        </w:rPr>
        <w:t xml:space="preserve"> was designated to represent in the ICANN Bylaws.   </w:t>
      </w:r>
    </w:p>
    <w:p w14:paraId="074480CB" w14:textId="09CAA9DA"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conclusion was the basis for Track 1 of our work: reviewing accountability, transparency, and participation </w:t>
      </w:r>
      <w:r w:rsidR="00B81D6A">
        <w:rPr>
          <w:rFonts w:asciiTheme="majorHAnsi" w:hAnsiTheme="majorHAnsi"/>
          <w:sz w:val="22"/>
          <w:szCs w:val="22"/>
        </w:rPr>
        <w:t xml:space="preserve">in ICANN </w:t>
      </w:r>
      <w:r w:rsidRPr="00794C04">
        <w:rPr>
          <w:rFonts w:asciiTheme="majorHAnsi" w:hAnsiTheme="majorHAnsi"/>
          <w:sz w:val="22"/>
          <w:szCs w:val="22"/>
        </w:rPr>
        <w:t xml:space="preserve">with respect to the designated community of each SO/AC and </w:t>
      </w:r>
      <w:r w:rsidR="0039276C">
        <w:rPr>
          <w:rFonts w:asciiTheme="majorHAnsi" w:hAnsiTheme="majorHAnsi"/>
          <w:sz w:val="22"/>
          <w:szCs w:val="22"/>
        </w:rPr>
        <w:t>Group</w:t>
      </w:r>
      <w:r w:rsidRPr="00794C04">
        <w:rPr>
          <w:rFonts w:asciiTheme="majorHAnsi" w:hAnsiTheme="majorHAnsi"/>
          <w:sz w:val="22"/>
          <w:szCs w:val="22"/>
        </w:rPr>
        <w:t>.  We were keen to examine the extent to which SO/AC/</w:t>
      </w:r>
      <w:r w:rsidR="0039276C">
        <w:rPr>
          <w:rFonts w:asciiTheme="majorHAnsi" w:hAnsiTheme="majorHAnsi"/>
          <w:sz w:val="22"/>
          <w:szCs w:val="22"/>
        </w:rPr>
        <w:t>Group</w:t>
      </w:r>
      <w:r w:rsidRPr="00794C04">
        <w:rPr>
          <w:rFonts w:asciiTheme="majorHAnsi" w:hAnsiTheme="majorHAnsi"/>
          <w:sz w:val="22"/>
          <w:szCs w:val="22"/>
        </w:rPr>
        <w:t>s were reaching out to, and open to, members of their designated community who were not yet participating.   In Track 1 we recommend 2</w:t>
      </w:r>
      <w:r>
        <w:rPr>
          <w:rFonts w:asciiTheme="majorHAnsi" w:hAnsiTheme="majorHAnsi"/>
          <w:sz w:val="22"/>
          <w:szCs w:val="22"/>
        </w:rPr>
        <w:t>5</w:t>
      </w:r>
      <w:r w:rsidR="00083680">
        <w:rPr>
          <w:rFonts w:asciiTheme="majorHAnsi" w:hAnsiTheme="majorHAnsi"/>
          <w:sz w:val="22"/>
          <w:szCs w:val="22"/>
        </w:rPr>
        <w:t xml:space="preserve"> [good practices]</w:t>
      </w:r>
      <w:r w:rsidRPr="00794C04">
        <w:rPr>
          <w:rFonts w:asciiTheme="majorHAnsi" w:hAnsiTheme="majorHAnsi"/>
          <w:sz w:val="22"/>
          <w:szCs w:val="22"/>
        </w:rPr>
        <w:t xml:space="preserve"> that each SO/AC/</w:t>
      </w:r>
      <w:r w:rsidR="0039276C">
        <w:rPr>
          <w:rFonts w:asciiTheme="majorHAnsi" w:hAnsiTheme="majorHAnsi"/>
          <w:sz w:val="22"/>
          <w:szCs w:val="22"/>
        </w:rPr>
        <w:t>Group</w:t>
      </w:r>
      <w:r w:rsidR="00D669B3">
        <w:rPr>
          <w:rFonts w:asciiTheme="majorHAnsi" w:hAnsiTheme="majorHAnsi"/>
          <w:sz w:val="22"/>
          <w:szCs w:val="22"/>
        </w:rPr>
        <w:t xml:space="preserve"> should implement</w:t>
      </w:r>
      <w:r w:rsidRPr="00794C04">
        <w:rPr>
          <w:rFonts w:asciiTheme="majorHAnsi" w:hAnsiTheme="majorHAnsi"/>
          <w:sz w:val="22"/>
          <w:szCs w:val="22"/>
        </w:rPr>
        <w:t xml:space="preserve">,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w:t>
      </w:r>
      <w:r w:rsidR="00114E2F">
        <w:rPr>
          <w:rFonts w:asciiTheme="majorHAnsi" w:hAnsiTheme="majorHAnsi"/>
          <w:sz w:val="22"/>
          <w:szCs w:val="22"/>
        </w:rPr>
        <w:t>do</w:t>
      </w:r>
      <w:r w:rsidRPr="00CD29C5">
        <w:rPr>
          <w:rFonts w:asciiTheme="majorHAnsi" w:hAnsiTheme="majorHAnsi"/>
          <w:sz w:val="22"/>
          <w:szCs w:val="22"/>
        </w:rPr>
        <w:t xml:space="preserve"> not </w:t>
      </w:r>
      <w:r w:rsidR="00CD29C5">
        <w:rPr>
          <w:rFonts w:asciiTheme="majorHAnsi" w:hAnsiTheme="majorHAnsi"/>
          <w:sz w:val="22"/>
          <w:szCs w:val="22"/>
        </w:rPr>
        <w:t>recommend</w:t>
      </w:r>
      <w:r w:rsidR="00083680">
        <w:rPr>
          <w:rFonts w:asciiTheme="majorHAnsi" w:hAnsiTheme="majorHAnsi"/>
          <w:sz w:val="22"/>
          <w:szCs w:val="22"/>
        </w:rPr>
        <w:t xml:space="preserve"> that implementation</w:t>
      </w:r>
      <w:r w:rsidR="00114E2F">
        <w:rPr>
          <w:rFonts w:asciiTheme="majorHAnsi" w:hAnsiTheme="majorHAnsi"/>
          <w:sz w:val="22"/>
          <w:szCs w:val="22"/>
        </w:rPr>
        <w:t xml:space="preserve"> of these practices be required.</w:t>
      </w:r>
      <w:r w:rsidR="00083680">
        <w:rPr>
          <w:rFonts w:asciiTheme="majorHAnsi" w:hAnsiTheme="majorHAnsi"/>
          <w:sz w:val="22"/>
          <w:szCs w:val="22"/>
        </w:rPr>
        <w:t xml:space="preserve"> </w:t>
      </w:r>
      <w:r w:rsidR="00114E2F">
        <w:rPr>
          <w:rFonts w:asciiTheme="majorHAnsi" w:hAnsiTheme="majorHAnsi"/>
          <w:sz w:val="22"/>
          <w:szCs w:val="22"/>
        </w:rPr>
        <w:t>Nor</w:t>
      </w:r>
      <w:r w:rsidR="00083680">
        <w:rPr>
          <w:rFonts w:asciiTheme="majorHAnsi" w:hAnsiTheme="majorHAnsi"/>
          <w:sz w:val="22"/>
          <w:szCs w:val="22"/>
        </w:rPr>
        <w:t xml:space="preserve"> </w:t>
      </w:r>
      <w:r w:rsidR="00114E2F">
        <w:rPr>
          <w:rFonts w:asciiTheme="majorHAnsi" w:hAnsiTheme="majorHAnsi"/>
          <w:sz w:val="22"/>
          <w:szCs w:val="22"/>
        </w:rPr>
        <w:t xml:space="preserve">do we </w:t>
      </w:r>
      <w:r w:rsidR="00083680">
        <w:rPr>
          <w:rFonts w:asciiTheme="majorHAnsi" w:hAnsiTheme="majorHAnsi"/>
          <w:sz w:val="22"/>
          <w:szCs w:val="22"/>
        </w:rPr>
        <w:t>recommend any</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083680">
        <w:rPr>
          <w:rFonts w:asciiTheme="majorHAnsi" w:hAnsiTheme="majorHAnsi"/>
          <w:sz w:val="22"/>
          <w:szCs w:val="22"/>
        </w:rPr>
        <w:t xml:space="preserve">.  </w:t>
      </w:r>
      <w:r w:rsidR="00114E2F">
        <w:rPr>
          <w:rFonts w:asciiTheme="majorHAnsi" w:hAnsiTheme="majorHAnsi"/>
          <w:sz w:val="22"/>
          <w:szCs w:val="22"/>
        </w:rPr>
        <w:t>W</w:t>
      </w:r>
      <w:r w:rsidR="00083680">
        <w:rPr>
          <w:rFonts w:asciiTheme="majorHAnsi" w:hAnsiTheme="majorHAnsi"/>
          <w:sz w:val="22"/>
          <w:szCs w:val="22"/>
        </w:rPr>
        <w:t xml:space="preserve">e do recommend that </w:t>
      </w:r>
      <w:r w:rsidR="00114E2F">
        <w:rPr>
          <w:rFonts w:asciiTheme="majorHAnsi" w:hAnsiTheme="majorHAnsi"/>
          <w:sz w:val="22"/>
          <w:szCs w:val="22"/>
        </w:rPr>
        <w:t xml:space="preserve">Operational Standards for </w:t>
      </w:r>
      <w:r w:rsidR="00083680">
        <w:rPr>
          <w:rFonts w:asciiTheme="majorHAnsi" w:hAnsiTheme="majorHAnsi"/>
          <w:sz w:val="22"/>
          <w:szCs w:val="22"/>
        </w:rPr>
        <w:t xml:space="preserve">periodic Organizational Reviews conducted by ICANN could include </w:t>
      </w:r>
      <w:r w:rsidR="00593DBF">
        <w:rPr>
          <w:rFonts w:asciiTheme="majorHAnsi" w:hAnsiTheme="majorHAnsi"/>
          <w:sz w:val="22"/>
          <w:szCs w:val="22"/>
        </w:rPr>
        <w:t xml:space="preserve">an </w:t>
      </w:r>
      <w:r w:rsidR="00114E2F">
        <w:rPr>
          <w:rFonts w:asciiTheme="majorHAnsi" w:hAnsiTheme="majorHAnsi"/>
          <w:sz w:val="22"/>
          <w:szCs w:val="22"/>
        </w:rPr>
        <w:t>assessment of [good practices]</w:t>
      </w:r>
      <w:r w:rsidR="00083680">
        <w:rPr>
          <w:rFonts w:asciiTheme="majorHAnsi" w:hAnsiTheme="majorHAnsi"/>
          <w:sz w:val="22"/>
          <w:szCs w:val="22"/>
        </w:rPr>
        <w:t xml:space="preserve"> implementation. </w:t>
      </w:r>
    </w:p>
    <w:p w14:paraId="57F09A04" w14:textId="0EAD25CE" w:rsidR="00CF27C4" w:rsidRPr="00CF27C4" w:rsidRDefault="00794C04" w:rsidP="00CF27C4">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SOs and ACs are only accountable to the designated community they were created to serve and represent. </w:t>
      </w:r>
      <w:r w:rsidR="00CF27C4">
        <w:rPr>
          <w:rFonts w:asciiTheme="majorHAnsi" w:hAnsiTheme="majorHAnsi"/>
          <w:sz w:val="22"/>
          <w:szCs w:val="22"/>
        </w:rPr>
        <w:t>T</w:t>
      </w:r>
      <w:r w:rsidR="00CF27C4" w:rsidRPr="00CF27C4">
        <w:rPr>
          <w:rFonts w:asciiTheme="majorHAnsi" w:hAnsiTheme="majorHAnsi"/>
          <w:sz w:val="22"/>
          <w:szCs w:val="22"/>
        </w:rPr>
        <w:t xml:space="preserve">he CCWG consensus view is not to recommend the Mutual Accountability Roundtable for formal implementation. </w:t>
      </w:r>
    </w:p>
    <w:p w14:paraId="6DAB04FB" w14:textId="53BE41A5"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w:t>
      </w:r>
      <w:r w:rsidR="00CF27C4">
        <w:rPr>
          <w:rFonts w:asciiTheme="majorHAnsi" w:hAnsiTheme="majorHAnsi"/>
          <w:sz w:val="22"/>
          <w:szCs w:val="22"/>
        </w:rPr>
        <w:t xml:space="preserve"> ICANN </w:t>
      </w:r>
      <w:proofErr w:type="spellStart"/>
      <w:r w:rsidR="00CF27C4">
        <w:rPr>
          <w:rFonts w:asciiTheme="majorHAnsi" w:hAnsiTheme="majorHAnsi"/>
          <w:sz w:val="22"/>
          <w:szCs w:val="22"/>
        </w:rPr>
        <w:t>Ombuds</w:t>
      </w:r>
      <w:proofErr w:type="spellEnd"/>
      <w:r w:rsidR="00CF27C4">
        <w:rPr>
          <w:rFonts w:asciiTheme="majorHAnsi" w:hAnsiTheme="majorHAnsi"/>
          <w:sz w:val="22"/>
          <w:szCs w:val="22"/>
        </w:rPr>
        <w:t xml:space="preserve"> Office is chartered </w:t>
      </w:r>
      <w:r w:rsidR="00593DBF">
        <w:rPr>
          <w:rFonts w:asciiTheme="majorHAnsi" w:hAnsiTheme="majorHAnsi"/>
          <w:sz w:val="22"/>
          <w:szCs w:val="22"/>
        </w:rPr>
        <w:t xml:space="preserve">to handle </w:t>
      </w:r>
      <w:r w:rsidR="007C54B2">
        <w:rPr>
          <w:rFonts w:asciiTheme="majorHAnsi" w:hAnsiTheme="majorHAnsi"/>
          <w:sz w:val="22"/>
          <w:szCs w:val="22"/>
        </w:rPr>
        <w:t xml:space="preserve">individual </w:t>
      </w:r>
      <w:r w:rsidRPr="00794C04">
        <w:rPr>
          <w:rFonts w:asciiTheme="majorHAnsi" w:hAnsiTheme="majorHAnsi"/>
          <w:sz w:val="22"/>
          <w:szCs w:val="22"/>
        </w:rPr>
        <w:t>challenge</w:t>
      </w:r>
      <w:r w:rsidR="00593DBF">
        <w:rPr>
          <w:rFonts w:asciiTheme="majorHAnsi" w:hAnsiTheme="majorHAnsi"/>
          <w:sz w:val="22"/>
          <w:szCs w:val="22"/>
        </w:rPr>
        <w:t>s</w:t>
      </w:r>
      <w:r w:rsidRPr="00794C04">
        <w:rPr>
          <w:rFonts w:asciiTheme="majorHAnsi" w:hAnsiTheme="majorHAnsi"/>
          <w:sz w:val="22"/>
          <w:szCs w:val="22"/>
        </w:rPr>
        <w:t xml:space="preserve"> </w:t>
      </w:r>
      <w:r w:rsidR="00593DBF">
        <w:rPr>
          <w:rFonts w:asciiTheme="majorHAnsi" w:hAnsiTheme="majorHAnsi"/>
          <w:sz w:val="22"/>
          <w:szCs w:val="22"/>
        </w:rPr>
        <w:t xml:space="preserve">to </w:t>
      </w:r>
      <w:r w:rsidRPr="00794C04">
        <w:rPr>
          <w:rFonts w:asciiTheme="majorHAnsi" w:hAnsiTheme="majorHAnsi"/>
          <w:sz w:val="22"/>
          <w:szCs w:val="22"/>
        </w:rPr>
        <w:t>an AC or SO action or inaction</w:t>
      </w:r>
      <w:r w:rsidR="00593DBF">
        <w:rPr>
          <w:rFonts w:asciiTheme="majorHAnsi" w:hAnsiTheme="majorHAnsi"/>
          <w:sz w:val="22"/>
          <w:szCs w:val="22"/>
        </w:rPr>
        <w:t xml:space="preserve"> regarding </w:t>
      </w:r>
      <w:r w:rsidR="00593DBF" w:rsidRPr="00593DBF">
        <w:rPr>
          <w:rFonts w:asciiTheme="majorHAnsi" w:hAnsiTheme="majorHAnsi"/>
          <w:sz w:val="22"/>
          <w:szCs w:val="22"/>
        </w:rPr>
        <w:t>accountability, transparency, and participation</w:t>
      </w:r>
      <w:r w:rsidR="00593DBF">
        <w:rPr>
          <w:rFonts w:asciiTheme="majorHAnsi" w:hAnsiTheme="majorHAnsi"/>
          <w:sz w:val="22"/>
          <w:szCs w:val="22"/>
        </w:rPr>
        <w:t>.</w:t>
      </w:r>
    </w:p>
    <w:p w14:paraId="36530862" w14:textId="0C74CED5" w:rsidR="00AE6146" w:rsidRPr="00AE6146" w:rsidRDefault="00AE6146" w:rsidP="001837AC">
      <w:pPr>
        <w:pStyle w:val="Heading2"/>
      </w:pPr>
      <w:bookmarkStart w:id="3" w:name="_Toc361929834"/>
      <w:r w:rsidRPr="00AE6146">
        <w:lastRenderedPageBreak/>
        <w:t>The mandate for SO/AC Accountability in Work Stream 2</w:t>
      </w:r>
      <w:r w:rsidR="00C34044">
        <w:t xml:space="preserve"> (WS2)</w:t>
      </w:r>
      <w:bookmarkEnd w:id="1"/>
      <w:bookmarkEnd w:id="2"/>
      <w:bookmarkEnd w:id="3"/>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2"/>
      </w:r>
    </w:p>
    <w:p w14:paraId="30FE88C9" w14:textId="74A53603"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 xml:space="preserve">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lastRenderedPageBreak/>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425B0D57"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r w:rsidR="00B81D6A">
        <w:rPr>
          <w:rFonts w:asciiTheme="majorHAnsi" w:hAnsiTheme="majorHAnsi"/>
          <w:sz w:val="22"/>
          <w:szCs w:val="22"/>
        </w:rPr>
        <w:t xml:space="preserve">  (Note that we look only at </w:t>
      </w:r>
      <w:r w:rsidR="000243A6">
        <w:rPr>
          <w:rFonts w:asciiTheme="majorHAnsi" w:hAnsiTheme="majorHAnsi"/>
          <w:sz w:val="22"/>
          <w:szCs w:val="22"/>
        </w:rPr>
        <w:t>SO/AC</w:t>
      </w:r>
      <w:r w:rsidR="00B81D6A">
        <w:rPr>
          <w:rFonts w:asciiTheme="majorHAnsi" w:hAnsiTheme="majorHAnsi"/>
          <w:sz w:val="22"/>
          <w:szCs w:val="22"/>
        </w:rPr>
        <w:t xml:space="preserve"> accountability within the scope of ICANN activities)</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61929835"/>
      <w:r w:rsidRPr="00533A9B">
        <w:lastRenderedPageBreak/>
        <w:t>Track 1. Review and develop recommendations to improve SO and AC processes for accountability, transparency, and participation that are helpful to prevent capture.</w:t>
      </w:r>
      <w:bookmarkEnd w:id="4"/>
      <w:bookmarkEnd w:id="5"/>
      <w:bookmarkEnd w:id="6"/>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058D496D" w14:textId="51E8AC0E" w:rsidR="00B81D6A" w:rsidRDefault="00B81D6A" w:rsidP="00B81D6A">
      <w:pPr>
        <w:spacing w:before="120"/>
        <w:rPr>
          <w:rFonts w:asciiTheme="majorHAnsi" w:hAnsiTheme="majorHAnsi"/>
          <w:sz w:val="22"/>
          <w:szCs w:val="22"/>
        </w:rPr>
      </w:pPr>
      <w:r>
        <w:rPr>
          <w:rFonts w:asciiTheme="majorHAnsi" w:hAnsiTheme="majorHAnsi"/>
          <w:sz w:val="22"/>
          <w:szCs w:val="22"/>
        </w:rPr>
        <w:t xml:space="preserve">Note that we look only at </w:t>
      </w:r>
      <w:r w:rsidR="000243A6">
        <w:rPr>
          <w:rFonts w:asciiTheme="majorHAnsi" w:hAnsiTheme="majorHAnsi"/>
          <w:sz w:val="22"/>
          <w:szCs w:val="22"/>
        </w:rPr>
        <w:t>SO/AC</w:t>
      </w:r>
      <w:r>
        <w:rPr>
          <w:rFonts w:asciiTheme="majorHAnsi" w:hAnsiTheme="majorHAnsi"/>
          <w:sz w:val="22"/>
          <w:szCs w:val="22"/>
        </w:rPr>
        <w:t xml:space="preserve"> accountability within the scope of ICANN activities.</w:t>
      </w:r>
    </w:p>
    <w:p w14:paraId="1B428DE6" w14:textId="149C7019"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w:t>
      </w:r>
      <w:r w:rsidR="000243A6">
        <w:rPr>
          <w:rFonts w:asciiTheme="majorHAnsi" w:hAnsiTheme="majorHAnsi"/>
          <w:sz w:val="22"/>
          <w:szCs w:val="22"/>
        </w:rPr>
        <w:t>SO/AC</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 xml:space="preserve">as recognized in international </w:t>
      </w:r>
      <w:proofErr w:type="spellStart"/>
      <w:r w:rsidR="004C1E51">
        <w:rPr>
          <w:rFonts w:asciiTheme="majorHAnsi" w:hAnsiTheme="majorHAnsi"/>
          <w:sz w:val="22"/>
          <w:szCs w:val="22"/>
        </w:rPr>
        <w:t>fora</w:t>
      </w:r>
      <w:proofErr w:type="spellEnd"/>
      <w:r w:rsidR="004C1E51">
        <w:rPr>
          <w:rFonts w:asciiTheme="majorHAnsi" w:hAnsiTheme="majorHAnsi"/>
          <w:sz w:val="22"/>
          <w:szCs w:val="22"/>
        </w:rPr>
        <w:t>, and multinational governmental organizations and treaty organizations on the invitation of the GAC through its Chair.”</w:t>
      </w:r>
    </w:p>
    <w:p w14:paraId="20783E26"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 whether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(iii) whether that organization, council or AC is accountable to its constituencies, stakeholder groups, organizations.  </w:t>
      </w:r>
    </w:p>
    <w:p w14:paraId="43EBD0BC" w14:textId="7C9B336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w:t>
      </w:r>
      <w:r w:rsidR="0039276C">
        <w:rPr>
          <w:rFonts w:asciiTheme="majorHAnsi" w:hAnsiTheme="majorHAnsi"/>
          <w:sz w:val="22"/>
          <w:szCs w:val="22"/>
        </w:rPr>
        <w:t>Group</w:t>
      </w:r>
      <w:r>
        <w:rPr>
          <w:rFonts w:asciiTheme="majorHAnsi" w:hAnsiTheme="majorHAnsi"/>
          <w:sz w:val="22"/>
          <w:szCs w:val="22"/>
        </w:rPr>
        <w:t xml:space="preserve">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1E8B99A0"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2. What are the published policies and procedures by which your </w:t>
      </w:r>
      <w:r w:rsidR="000243A6">
        <w:rPr>
          <w:rFonts w:asciiTheme="majorHAnsi" w:hAnsiTheme="majorHAnsi"/>
          <w:sz w:val="20"/>
          <w:szCs w:val="22"/>
        </w:rPr>
        <w:t>SO/AC</w:t>
      </w:r>
      <w:r w:rsidRPr="00BA57CE">
        <w:rPr>
          <w:rFonts w:asciiTheme="majorHAnsi" w:hAnsiTheme="majorHAnsi"/>
          <w:sz w:val="20"/>
          <w:szCs w:val="22"/>
        </w:rPr>
        <w:t xml:space="preserve"> is accountable to the designated community that you serve?</w:t>
      </w:r>
    </w:p>
    <w:p w14:paraId="35FE3E3F" w14:textId="1BA3A065"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 xml:space="preserve">2a. Your policies and efforts in outreach to individuals and organizations in your designated community who do not yet participate in your </w:t>
      </w:r>
      <w:r w:rsidR="000243A6">
        <w:rPr>
          <w:rFonts w:asciiTheme="majorHAnsi" w:hAnsiTheme="majorHAnsi"/>
          <w:sz w:val="20"/>
          <w:szCs w:val="22"/>
        </w:rPr>
        <w:t>SO/AC</w:t>
      </w:r>
      <w:r w:rsidRPr="00BA57CE">
        <w:rPr>
          <w:rFonts w:asciiTheme="majorHAnsi" w:hAnsiTheme="majorHAnsi"/>
          <w:sz w:val="20"/>
          <w:szCs w:val="22"/>
        </w:rPr>
        <w:t>.</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A2FF763"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2c. Transparency mechanisms for your </w:t>
      </w:r>
      <w:r w:rsidR="000243A6">
        <w:rPr>
          <w:rFonts w:asciiTheme="majorHAnsi" w:hAnsiTheme="majorHAnsi"/>
          <w:sz w:val="20"/>
          <w:szCs w:val="22"/>
        </w:rPr>
        <w:t>SO/AC</w:t>
      </w:r>
      <w:r w:rsidRPr="00BA57CE">
        <w:rPr>
          <w:rFonts w:asciiTheme="majorHAnsi" w:hAnsiTheme="majorHAnsi"/>
          <w:sz w:val="20"/>
          <w:szCs w:val="22"/>
        </w:rPr>
        <w:t xml:space="preserve">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390BE3F4"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3. Mechanisms for challenging or appealing elections.   Does your </w:t>
      </w:r>
      <w:r w:rsidR="000243A6">
        <w:rPr>
          <w:rFonts w:asciiTheme="majorHAnsi" w:hAnsiTheme="majorHAnsi"/>
          <w:sz w:val="20"/>
          <w:szCs w:val="22"/>
        </w:rPr>
        <w:t>SO/AC</w:t>
      </w:r>
      <w:r w:rsidRPr="00BA57CE">
        <w:rPr>
          <w:rFonts w:asciiTheme="majorHAnsi" w:hAnsiTheme="majorHAnsi"/>
          <w:sz w:val="20"/>
          <w:szCs w:val="22"/>
        </w:rPr>
        <w:t xml:space="preserve"> have mechanisms by which your members can challenge or appeal decisions and elections? Please include link where they can be consulted.</w:t>
      </w:r>
    </w:p>
    <w:p w14:paraId="54ABE9FB" w14:textId="3EE926CC"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4. Any unwritten policies related to accountability. Does your </w:t>
      </w:r>
      <w:r w:rsidR="000243A6">
        <w:rPr>
          <w:rFonts w:asciiTheme="majorHAnsi" w:hAnsiTheme="majorHAnsi"/>
          <w:sz w:val="20"/>
          <w:szCs w:val="22"/>
        </w:rPr>
        <w:t>SO/AC</w:t>
      </w:r>
      <w:r w:rsidRPr="00BA57CE">
        <w:rPr>
          <w:rFonts w:asciiTheme="majorHAnsi" w:hAnsiTheme="majorHAnsi"/>
          <w:sz w:val="20"/>
          <w:szCs w:val="22"/>
        </w:rPr>
        <w:t xml:space="preserve">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AFBDC33" w:rsidR="00BA57CE" w:rsidRPr="00BA57CE" w:rsidRDefault="00BA57CE">
      <w:pPr>
        <w:rPr>
          <w:rFonts w:asciiTheme="majorHAnsi" w:hAnsiTheme="majorHAnsi"/>
          <w:sz w:val="22"/>
          <w:szCs w:val="22"/>
        </w:rPr>
      </w:pPr>
      <w:r w:rsidRPr="00BA57CE">
        <w:rPr>
          <w:rFonts w:asciiTheme="majorHAnsi" w:hAnsiTheme="majorHAnsi"/>
          <w:sz w:val="22"/>
          <w:szCs w:val="22"/>
        </w:rPr>
        <w:t xml:space="preserve">We received responses from the following </w:t>
      </w:r>
      <w:r w:rsidR="000243A6">
        <w:rPr>
          <w:rFonts w:asciiTheme="majorHAnsi" w:hAnsiTheme="majorHAnsi"/>
          <w:sz w:val="22"/>
          <w:szCs w:val="22"/>
        </w:rPr>
        <w:t>SO/AC</w:t>
      </w:r>
      <w:r>
        <w:rPr>
          <w:rFonts w:asciiTheme="majorHAnsi" w:hAnsiTheme="majorHAnsi"/>
          <w:sz w:val="22"/>
          <w:szCs w:val="22"/>
        </w:rPr>
        <w:t>s</w:t>
      </w:r>
      <w:r w:rsidRPr="00BA57CE">
        <w:rPr>
          <w:rFonts w:asciiTheme="majorHAnsi" w:hAnsiTheme="majorHAnsi"/>
          <w:sz w:val="22"/>
          <w:szCs w:val="22"/>
        </w:rPr>
        <w:t xml:space="preserve"> and </w:t>
      </w:r>
      <w:r w:rsidR="0039276C">
        <w:rPr>
          <w:rFonts w:asciiTheme="majorHAnsi" w:hAnsiTheme="majorHAnsi"/>
          <w:sz w:val="22"/>
          <w:szCs w:val="22"/>
        </w:rPr>
        <w:t>Group</w:t>
      </w:r>
      <w:r w:rsidRPr="00BA57CE">
        <w:rPr>
          <w:rFonts w:asciiTheme="majorHAnsi" w:hAnsiTheme="majorHAnsi"/>
          <w:sz w:val="22"/>
          <w:szCs w:val="22"/>
        </w:rPr>
        <w:t xml:space="preserve">s, as of </w:t>
      </w:r>
      <w:r w:rsidR="00B40D7D">
        <w:rPr>
          <w:rFonts w:asciiTheme="majorHAnsi" w:hAnsiTheme="majorHAnsi"/>
          <w:sz w:val="22"/>
          <w:szCs w:val="22"/>
        </w:rPr>
        <w:t>3</w:t>
      </w:r>
      <w:r w:rsidRPr="00BA57CE">
        <w:rPr>
          <w:rFonts w:asciiTheme="majorHAnsi" w:hAnsiTheme="majorHAnsi"/>
          <w:sz w:val="22"/>
          <w:szCs w:val="22"/>
        </w:rPr>
        <w:t>-</w:t>
      </w:r>
      <w:r w:rsidR="00B40D7D">
        <w:rPr>
          <w:rFonts w:asciiTheme="majorHAnsi" w:hAnsiTheme="majorHAnsi"/>
          <w:sz w:val="22"/>
          <w:szCs w:val="22"/>
        </w:rPr>
        <w:t>Mar</w:t>
      </w:r>
      <w:r w:rsidRPr="00BA57CE">
        <w:rPr>
          <w:rFonts w:asciiTheme="majorHAnsi" w:hAnsiTheme="majorHAnsi"/>
          <w:sz w:val="22"/>
          <w:szCs w:val="22"/>
        </w:rPr>
        <w:t>-2017: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444CC142" w14:textId="1E0940E8" w:rsidR="00B40D7D" w:rsidRDefault="00B40D7D" w:rsidP="00601BDE">
      <w:pPr>
        <w:pStyle w:val="Normal1"/>
        <w:spacing w:before="120"/>
        <w:ind w:left="720"/>
        <w:rPr>
          <w:rFonts w:ascii="Calibri" w:eastAsia="Calibri" w:hAnsi="Calibri" w:cs="Calibri"/>
          <w:sz w:val="22"/>
          <w:szCs w:val="22"/>
        </w:rPr>
      </w:pPr>
      <w:r w:rsidRPr="00B40D7D">
        <w:rPr>
          <w:rFonts w:ascii="Calibri" w:eastAsia="Calibri" w:hAnsi="Calibri" w:cs="Calibri"/>
          <w:sz w:val="22"/>
          <w:szCs w:val="22"/>
        </w:rPr>
        <w:t>GNSO NPOC (Not-for-Profit Operational Concerns Constituency)</w:t>
      </w:r>
    </w:p>
    <w:p w14:paraId="37C8474B" w14:textId="4F9EE6CE"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5DB720B0" w14:textId="77777777" w:rsidR="00B40D7D" w:rsidRDefault="00B40D7D"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RrSG</w:t>
      </w:r>
      <w:proofErr w:type="spellEnd"/>
      <w:r>
        <w:rPr>
          <w:rFonts w:ascii="Calibri" w:eastAsia="Calibri" w:hAnsi="Calibri" w:cs="Calibri"/>
          <w:sz w:val="22"/>
          <w:szCs w:val="22"/>
        </w:rPr>
        <w:t xml:space="preserve"> (Registrars Stakeholder Group)</w:t>
      </w:r>
    </w:p>
    <w:p w14:paraId="6A4D6C5D" w14:textId="556DEC48"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237C2F40"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w:t>
      </w:r>
      <w:r w:rsidR="00083680">
        <w:rPr>
          <w:rFonts w:asciiTheme="majorHAnsi" w:hAnsiTheme="majorHAnsi"/>
          <w:sz w:val="22"/>
          <w:szCs w:val="22"/>
        </w:rPr>
        <w:t>[good practices]</w:t>
      </w:r>
      <w:r>
        <w:rPr>
          <w:rFonts w:asciiTheme="majorHAnsi" w:hAnsiTheme="majorHAnsi"/>
          <w:sz w:val="22"/>
          <w:szCs w:val="22"/>
        </w:rPr>
        <w:t xml:space="preserve">.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2E9A2350" w:rsidR="00567EA6" w:rsidRDefault="006063E5" w:rsidP="006063E5">
      <w:pPr>
        <w:pStyle w:val="Heading3"/>
      </w:pPr>
      <w:bookmarkStart w:id="7" w:name="_Toc361929836"/>
      <w:r>
        <w:lastRenderedPageBreak/>
        <w:t xml:space="preserve">Summary of </w:t>
      </w:r>
      <w:r w:rsidR="00114E2F">
        <w:t>[Good</w:t>
      </w:r>
      <w:r>
        <w:t xml:space="preserve"> Practice</w:t>
      </w:r>
      <w:r w:rsidR="00114E2F">
        <w:t>]</w:t>
      </w:r>
      <w:r>
        <w:t xml:space="preserve"> Recommendations for Accountability, Transparency, and Participation within SO/AC/</w:t>
      </w:r>
      <w:r w:rsidR="0039276C">
        <w:t>Group</w:t>
      </w:r>
      <w:r>
        <w:t>s</w:t>
      </w:r>
      <w:bookmarkEnd w:id="7"/>
    </w:p>
    <w:p w14:paraId="6688396F" w14:textId="77777777" w:rsidR="006063E5" w:rsidRDefault="006063E5" w:rsidP="006063E5"/>
    <w:p w14:paraId="588814A0" w14:textId="20F2769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w:t>
      </w:r>
      <w:r w:rsidR="001E3308">
        <w:rPr>
          <w:rFonts w:ascii="Calibri" w:eastAsia="Calibri" w:hAnsi="Calibri" w:cs="Calibri"/>
          <w:sz w:val="22"/>
          <w:szCs w:val="22"/>
        </w:rPr>
        <w:t>should implement</w:t>
      </w:r>
      <w:r w:rsidR="00114E2F">
        <w:rPr>
          <w:rFonts w:ascii="Calibri" w:eastAsia="Calibri" w:hAnsi="Calibri" w:cs="Calibri"/>
          <w:sz w:val="22"/>
          <w:szCs w:val="22"/>
        </w:rPr>
        <w:t xml:space="preserve"> the following </w:t>
      </w:r>
      <w:r w:rsidR="00083680">
        <w:rPr>
          <w:rFonts w:ascii="Calibri" w:eastAsia="Calibri" w:hAnsi="Calibri" w:cs="Calibri"/>
          <w:sz w:val="22"/>
          <w:szCs w:val="22"/>
        </w:rPr>
        <w:t>[good practices]</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58976C3D" w:rsidR="004B4A06" w:rsidRPr="00B24F7D" w:rsidRDefault="004B4A06" w:rsidP="008A642E">
            <w:pPr>
              <w:pStyle w:val="Normal1"/>
              <w:numPr>
                <w:ilvl w:val="0"/>
                <w:numId w:val="14"/>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s should document their decision-making methods, indicating any presiding officers, decision-making bodies, and whether decisions are binding or nonbinding</w:t>
            </w:r>
          </w:p>
          <w:p w14:paraId="7DF68D3F" w14:textId="24C81361" w:rsidR="004B4A06" w:rsidRPr="006063E5"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Pr="006063E5">
              <w:rPr>
                <w:rFonts w:ascii="Calibri" w:eastAsia="Calibri" w:hAnsi="Calibri" w:cs="Calibri"/>
                <w:sz w:val="22"/>
                <w:szCs w:val="22"/>
              </w:rPr>
              <w:t>the process used for an election or formal decision.</w:t>
            </w:r>
          </w:p>
          <w:p w14:paraId="7695B0AE" w14:textId="45ADD726" w:rsidR="004B4A06" w:rsidRPr="001C5BCF" w:rsidRDefault="004B4A06" w:rsidP="008A642E">
            <w:pPr>
              <w:pStyle w:val="Normal1"/>
              <w:numPr>
                <w:ilvl w:val="0"/>
                <w:numId w:val="14"/>
              </w:numPr>
              <w:spacing w:before="120"/>
              <w:ind w:left="432"/>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281E9538" w:rsidR="004B4A06"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54320BB7" w:rsidR="004B4A06" w:rsidRPr="004B4A06" w:rsidRDefault="004B4A06" w:rsidP="008A642E">
            <w:pPr>
              <w:pStyle w:val="Normal1"/>
              <w:numPr>
                <w:ilvl w:val="0"/>
                <w:numId w:val="14"/>
              </w:numPr>
              <w:spacing w:before="120"/>
              <w:ind w:left="432"/>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Pr>
                <w:rFonts w:ascii="Calibri" w:hAnsi="Calibri" w:cs="Calibri"/>
                <w:sz w:val="22"/>
                <w:szCs w:val="22"/>
              </w:rPr>
              <w:t>,</w:t>
            </w:r>
            <w:r w:rsidRPr="003969CB">
              <w:rPr>
                <w:rFonts w:ascii="Calibri" w:hAnsi="Calibri" w:cs="Calibri"/>
                <w:sz w:val="22"/>
                <w:szCs w:val="22"/>
              </w:rPr>
              <w:t xml:space="preserve"> and </w:t>
            </w:r>
            <w:r>
              <w:rPr>
                <w:rFonts w:ascii="Calibri" w:hAnsi="Calibri" w:cs="Calibri"/>
                <w:sz w:val="22"/>
                <w:szCs w:val="22"/>
              </w:rPr>
              <w:t>any</w:t>
            </w:r>
            <w:r w:rsidRPr="003969CB">
              <w:rPr>
                <w:rFonts w:ascii="Calibri" w:hAnsi="Calibri" w:cs="Calibri"/>
                <w:sz w:val="22"/>
                <w:szCs w:val="22"/>
              </w:rPr>
              <w:t xml:space="preserve"> </w:t>
            </w:r>
            <w:r>
              <w:rPr>
                <w:rFonts w:ascii="Calibri" w:hAnsi="Calibri" w:cs="Calibri"/>
                <w:sz w:val="22"/>
                <w:szCs w:val="22"/>
              </w:rPr>
              <w:t>p</w:t>
            </w:r>
            <w:r w:rsidRPr="003969CB">
              <w:rPr>
                <w:rFonts w:ascii="Calibri" w:hAnsi="Calibri" w:cs="Calibri"/>
                <w:sz w:val="22"/>
                <w:szCs w:val="22"/>
              </w:rPr>
              <w:t>lan</w:t>
            </w:r>
            <w:r>
              <w:rPr>
                <w:rFonts w:ascii="Calibri" w:hAnsi="Calibri" w:cs="Calibri"/>
                <w:sz w:val="22"/>
                <w:szCs w:val="22"/>
              </w:rPr>
              <w:t>s</w:t>
            </w:r>
            <w:r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38794A9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E59CBD5" w14:textId="41DEBB5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45ED6606" w14:textId="5FAFF70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w:t>
            </w:r>
            <w:r w:rsidR="0039276C">
              <w:rPr>
                <w:rFonts w:ascii="Calibri" w:eastAsia="Calibri" w:hAnsi="Calibri" w:cs="Calibri"/>
                <w:sz w:val="22"/>
                <w:szCs w:val="22"/>
              </w:rPr>
              <w:t>Group</w:t>
            </w:r>
            <w:r>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57564D">
              <w:rPr>
                <w:rFonts w:ascii="Calibri" w:eastAsia="Calibri" w:hAnsi="Calibri" w:cs="Calibri"/>
                <w:sz w:val="22"/>
                <w:szCs w:val="22"/>
              </w:rPr>
              <w:t>Examples of appropriate reasons include discussion of:</w:t>
            </w:r>
          </w:p>
          <w:p w14:paraId="58A99AD1" w14:textId="7CA4BA2E"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trade secrets or sensitive commercial information whose disclosure would cause harm to a person or organization's legitimate commercial or financial interests or competitive position.</w:t>
            </w:r>
          </w:p>
          <w:p w14:paraId="7DA532F7" w14:textId="33528358"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internal strategic planning whose disclosure would likely compromise the efficacy of the chosen course.</w:t>
            </w:r>
          </w:p>
          <w:p w14:paraId="45A13547" w14:textId="256586B5"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would constitute an invasion of personal privacy, such as medical records.</w:t>
            </w:r>
          </w:p>
          <w:p w14:paraId="5485AEE5" w14:textId="42ED8580"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has the potential to harm the security and stability of the Internet.</w:t>
            </w:r>
          </w:p>
          <w:p w14:paraId="279379AF" w14:textId="2D275EBC" w:rsidR="0057564D" w:rsidRPr="0057564D" w:rsidRDefault="0057564D" w:rsidP="008A642E">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that, if disclosed, would be likely to endanger the life, health, or safety of any individual or materially prejudice the administration of justice.</w:t>
            </w:r>
          </w:p>
          <w:p w14:paraId="3F6FBE22" w14:textId="6CB155E4" w:rsidR="004B4A06" w:rsidRDefault="002C282D"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Notes, m</w:t>
            </w:r>
            <w:r w:rsidR="004B4A06">
              <w:rPr>
                <w:rFonts w:ascii="Calibri" w:eastAsia="Calibri" w:hAnsi="Calibri" w:cs="Calibri"/>
                <w:sz w:val="22"/>
                <w:szCs w:val="22"/>
              </w:rPr>
              <w:t>inutes</w:t>
            </w:r>
            <w:r>
              <w:rPr>
                <w:rFonts w:ascii="Calibri" w:eastAsia="Calibri" w:hAnsi="Calibri" w:cs="Calibri"/>
                <w:sz w:val="22"/>
                <w:szCs w:val="22"/>
              </w:rPr>
              <w:t>, or records of</w:t>
            </w:r>
            <w:r w:rsidR="004B4A06">
              <w:rPr>
                <w:rFonts w:ascii="Calibri" w:eastAsia="Calibri" w:hAnsi="Calibri" w:cs="Calibri"/>
                <w:sz w:val="22"/>
                <w:szCs w:val="22"/>
              </w:rPr>
              <w:t xml:space="preserve"> all membership meetings should be </w:t>
            </w:r>
            <w:r>
              <w:rPr>
                <w:rFonts w:ascii="Calibri" w:eastAsia="Calibri" w:hAnsi="Calibri" w:cs="Calibri"/>
                <w:sz w:val="22"/>
                <w:szCs w:val="22"/>
              </w:rPr>
              <w:t>made publicly available</w:t>
            </w:r>
            <w:r w:rsidR="004B4A06">
              <w:rPr>
                <w:rFonts w:ascii="Calibri" w:eastAsia="Calibri" w:hAnsi="Calibri" w:cs="Calibri"/>
                <w:sz w:val="22"/>
                <w:szCs w:val="22"/>
              </w:rPr>
              <w:t>.</w:t>
            </w:r>
          </w:p>
          <w:p w14:paraId="1DA0EFCF" w14:textId="7EF65B5C" w:rsidR="004B4A06" w:rsidRPr="004B4A06" w:rsidRDefault="004B4A06" w:rsidP="008A642E">
            <w:pPr>
              <w:pStyle w:val="Normal1"/>
              <w:widowControl w:val="0"/>
              <w:numPr>
                <w:ilvl w:val="0"/>
                <w:numId w:val="59"/>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 xml:space="preserve">Filed comments and correspondence with ICANN should be published for anyone </w:t>
            </w:r>
            <w:r>
              <w:rPr>
                <w:rFonts w:ascii="Calibri" w:eastAsia="Calibri" w:hAnsi="Calibri" w:cs="Calibri"/>
                <w:sz w:val="22"/>
                <w:szCs w:val="22"/>
              </w:rPr>
              <w:lastRenderedPageBreak/>
              <w:t>to view</w:t>
            </w:r>
          </w:p>
        </w:tc>
      </w:tr>
      <w:tr w:rsidR="004B4A06" w:rsidRPr="004B4A06" w14:paraId="500F372D" w14:textId="77777777" w:rsidTr="004B4A06">
        <w:tc>
          <w:tcPr>
            <w:tcW w:w="1548" w:type="dxa"/>
          </w:tcPr>
          <w:p w14:paraId="6034EED5" w14:textId="0136D31A"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Participation</w:t>
            </w:r>
          </w:p>
        </w:tc>
        <w:tc>
          <w:tcPr>
            <w:tcW w:w="8028" w:type="dxa"/>
          </w:tcPr>
          <w:p w14:paraId="05288DAD"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5386C1BB" w14:textId="5C0C990C"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For any meetings, be they closed to members only or open to anyone, the members have to be able to access </w:t>
            </w:r>
            <w:r w:rsidR="002C282D">
              <w:rPr>
                <w:rFonts w:asciiTheme="majorHAnsi" w:eastAsia="Calibri" w:hAnsiTheme="majorHAnsi" w:cs="Calibri"/>
                <w:sz w:val="22"/>
                <w:szCs w:val="22"/>
              </w:rPr>
              <w:t xml:space="preserve">notes, </w:t>
            </w:r>
            <w:r w:rsidRPr="00B9527C">
              <w:rPr>
                <w:rFonts w:asciiTheme="majorHAnsi" w:eastAsia="Calibri" w:hAnsiTheme="majorHAnsi" w:cs="Calibri"/>
                <w:sz w:val="22"/>
                <w:szCs w:val="22"/>
              </w:rPr>
              <w:t>minutes</w:t>
            </w:r>
            <w:r w:rsidR="002C282D">
              <w:rPr>
                <w:rFonts w:asciiTheme="majorHAnsi" w:eastAsia="Calibri" w:hAnsiTheme="majorHAnsi" w:cs="Calibri"/>
                <w:sz w:val="22"/>
                <w:szCs w:val="22"/>
              </w:rPr>
              <w:t>,</w:t>
            </w:r>
            <w:r w:rsidRPr="00B9527C">
              <w:rPr>
                <w:rFonts w:asciiTheme="majorHAnsi" w:eastAsia="Calibri" w:hAnsiTheme="majorHAnsi" w:cs="Calibri"/>
                <w:sz w:val="22"/>
                <w:szCs w:val="22"/>
              </w:rPr>
              <w:t xml:space="preserve"> and/or recordings, subject to exceptions for confidential matters.</w:t>
            </w:r>
          </w:p>
          <w:p w14:paraId="73C2F55A"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EBD24FD" w:rsidR="004B4A06" w:rsidRPr="004B4A06" w:rsidRDefault="00601962" w:rsidP="008A642E">
            <w:pPr>
              <w:pStyle w:val="Normal1"/>
              <w:numPr>
                <w:ilvl w:val="0"/>
                <w:numId w:val="5"/>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w:t>
            </w:r>
            <w:r w:rsidR="0039276C">
              <w:rPr>
                <w:rFonts w:asciiTheme="majorHAnsi" w:eastAsia="Calibri" w:hAnsiTheme="majorHAnsi" w:cs="Calibri"/>
                <w:sz w:val="22"/>
                <w:szCs w:val="22"/>
              </w:rPr>
              <w:t>Group</w:t>
            </w:r>
            <w:r w:rsidRPr="00B9527C">
              <w:rPr>
                <w:rFonts w:asciiTheme="majorHAnsi" w:eastAsia="Calibri" w:hAnsiTheme="majorHAnsi" w:cs="Calibri"/>
                <w:sz w:val="22"/>
                <w:szCs w:val="22"/>
              </w:rPr>
              <w:t>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Outreach</w:t>
            </w:r>
          </w:p>
        </w:tc>
        <w:tc>
          <w:tcPr>
            <w:tcW w:w="8028" w:type="dxa"/>
          </w:tcPr>
          <w:p w14:paraId="02C01D54" w14:textId="7AB4F88A"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w:t>
            </w:r>
            <w:r>
              <w:rPr>
                <w:rFonts w:ascii="Calibri" w:eastAsia="Calibri" w:hAnsi="Calibri" w:cs="Calibri"/>
                <w:sz w:val="22"/>
                <w:szCs w:val="22"/>
              </w:rPr>
              <w:t>C/</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1F31E115" w14:textId="3C633CA4" w:rsidR="00B9527C" w:rsidRDefault="000243A6"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maintain a publicly- accessible website/wiki pages to advertise their outreach events and opportunities </w:t>
            </w:r>
          </w:p>
          <w:p w14:paraId="579493A2" w14:textId="62A4F36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Each SO/</w:t>
            </w:r>
            <w:r w:rsidR="000243A6">
              <w:rPr>
                <w:rFonts w:ascii="Calibri" w:eastAsia="Calibri" w:hAnsi="Calibri" w:cs="Calibri"/>
                <w:sz w:val="22"/>
                <w:szCs w:val="22"/>
              </w:rPr>
              <w:t>AC/</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357F3B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7D26A963" w14:textId="04ACC090" w:rsidR="004B4A06" w:rsidRPr="004B4A06" w:rsidRDefault="000243A6" w:rsidP="00AF2170">
            <w:pPr>
              <w:pStyle w:val="Normal1"/>
              <w:widowControl w:val="0"/>
              <w:numPr>
                <w:ilvl w:val="0"/>
                <w:numId w:val="6"/>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have a strategy for outreach to parts of their targeted community that may not be significantly participating at the time</w:t>
            </w:r>
            <w:r w:rsidR="008A642E">
              <w:rPr>
                <w:rFonts w:ascii="Calibri" w:eastAsia="Calibri" w:hAnsi="Calibri" w:cs="Calibri"/>
                <w:sz w:val="22"/>
                <w:szCs w:val="22"/>
              </w:rPr>
              <w:t xml:space="preserve">, while also seeking diversity within membership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3A53AB5"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C920E3F"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6346EB00" w14:textId="2004AF3B" w:rsidR="004B4A06" w:rsidRPr="001F7CD6" w:rsidRDefault="000243A6"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46A5CE8A" w14:textId="77777777" w:rsidR="00416717" w:rsidRDefault="00BD3637" w:rsidP="00BD3637">
      <w:pPr>
        <w:pStyle w:val="Normal1"/>
        <w:spacing w:before="120"/>
        <w:rPr>
          <w:rFonts w:asciiTheme="majorHAnsi" w:hAnsiTheme="majorHAnsi"/>
          <w:sz w:val="22"/>
          <w:szCs w:val="22"/>
        </w:rPr>
      </w:pPr>
      <w:r w:rsidRPr="00BD3637">
        <w:rPr>
          <w:rFonts w:asciiTheme="majorHAnsi" w:hAnsiTheme="majorHAnsi"/>
          <w:sz w:val="22"/>
          <w:szCs w:val="22"/>
        </w:rPr>
        <w:t>A</w:t>
      </w:r>
      <w:r>
        <w:rPr>
          <w:rFonts w:asciiTheme="majorHAnsi" w:hAnsiTheme="majorHAnsi"/>
          <w:sz w:val="22"/>
          <w:szCs w:val="22"/>
        </w:rPr>
        <w:t xml:space="preserve">s noted earlier, we </w:t>
      </w:r>
      <w:r w:rsidR="00416717">
        <w:rPr>
          <w:rFonts w:asciiTheme="majorHAnsi" w:hAnsiTheme="majorHAnsi"/>
          <w:sz w:val="22"/>
          <w:szCs w:val="22"/>
        </w:rPr>
        <w:t>do</w:t>
      </w:r>
      <w:r>
        <w:rPr>
          <w:rFonts w:asciiTheme="majorHAnsi" w:hAnsiTheme="majorHAnsi"/>
          <w:sz w:val="22"/>
          <w:szCs w:val="22"/>
        </w:rPr>
        <w:t xml:space="preserve"> not recommen</w:t>
      </w:r>
      <w:r w:rsidR="00416717">
        <w:rPr>
          <w:rFonts w:asciiTheme="majorHAnsi" w:hAnsiTheme="majorHAnsi"/>
          <w:sz w:val="22"/>
          <w:szCs w:val="22"/>
        </w:rPr>
        <w:t xml:space="preserve">d </w:t>
      </w:r>
      <w:r w:rsidR="000243A6">
        <w:rPr>
          <w:rFonts w:asciiTheme="majorHAnsi" w:hAnsiTheme="majorHAnsi"/>
          <w:sz w:val="22"/>
          <w:szCs w:val="22"/>
        </w:rPr>
        <w:t xml:space="preserve">that the above </w:t>
      </w:r>
      <w:r w:rsidR="00083680">
        <w:rPr>
          <w:rFonts w:asciiTheme="majorHAnsi" w:hAnsiTheme="majorHAnsi"/>
          <w:sz w:val="22"/>
          <w:szCs w:val="22"/>
        </w:rPr>
        <w:t>[good practices]</w:t>
      </w:r>
      <w:r w:rsidRPr="00BD3637">
        <w:rPr>
          <w:rFonts w:asciiTheme="majorHAnsi" w:hAnsiTheme="majorHAnsi"/>
          <w:sz w:val="22"/>
          <w:szCs w:val="22"/>
        </w:rPr>
        <w:t xml:space="preserve"> be</w:t>
      </w:r>
      <w:r>
        <w:rPr>
          <w:rFonts w:asciiTheme="majorHAnsi" w:hAnsiTheme="majorHAnsi"/>
          <w:sz w:val="22"/>
          <w:szCs w:val="22"/>
        </w:rPr>
        <w:t xml:space="preserve">come part of ICANN </w:t>
      </w:r>
      <w:r w:rsidR="007B6363" w:rsidRPr="00BD3637">
        <w:rPr>
          <w:rFonts w:asciiTheme="majorHAnsi" w:hAnsiTheme="majorHAnsi"/>
          <w:sz w:val="22"/>
          <w:szCs w:val="22"/>
        </w:rPr>
        <w:t>Bylaws</w:t>
      </w:r>
      <w:r w:rsidR="000243A6">
        <w:rPr>
          <w:rFonts w:asciiTheme="majorHAnsi" w:hAnsiTheme="majorHAnsi"/>
          <w:sz w:val="22"/>
          <w:szCs w:val="22"/>
        </w:rPr>
        <w:t xml:space="preserve">, or that </w:t>
      </w:r>
      <w:r>
        <w:rPr>
          <w:rFonts w:asciiTheme="majorHAnsi" w:hAnsiTheme="majorHAnsi"/>
          <w:sz w:val="22"/>
          <w:szCs w:val="22"/>
        </w:rPr>
        <w:t>SO</w:t>
      </w:r>
      <w:r w:rsidR="000243A6">
        <w:rPr>
          <w:rFonts w:asciiTheme="majorHAnsi" w:hAnsiTheme="majorHAnsi"/>
          <w:sz w:val="22"/>
          <w:szCs w:val="22"/>
        </w:rPr>
        <w:t>/AC</w:t>
      </w:r>
      <w:r>
        <w:rPr>
          <w:rFonts w:asciiTheme="majorHAnsi" w:hAnsiTheme="majorHAnsi"/>
          <w:sz w:val="22"/>
          <w:szCs w:val="22"/>
        </w:rPr>
        <w:t>/Groups be required to implement the</w:t>
      </w:r>
      <w:r w:rsidR="000243A6">
        <w:rPr>
          <w:rFonts w:asciiTheme="majorHAnsi" w:hAnsiTheme="majorHAnsi"/>
          <w:sz w:val="22"/>
          <w:szCs w:val="22"/>
        </w:rPr>
        <w:t>se</w:t>
      </w:r>
      <w:r>
        <w:rPr>
          <w:rFonts w:asciiTheme="majorHAnsi" w:hAnsiTheme="majorHAnsi"/>
          <w:sz w:val="22"/>
          <w:szCs w:val="22"/>
        </w:rPr>
        <w:t xml:space="preserve"> </w:t>
      </w:r>
      <w:r w:rsidR="00083680">
        <w:rPr>
          <w:rFonts w:asciiTheme="majorHAnsi" w:hAnsiTheme="majorHAnsi"/>
          <w:sz w:val="22"/>
          <w:szCs w:val="22"/>
        </w:rPr>
        <w:t>[good practices]</w:t>
      </w:r>
      <w:r>
        <w:rPr>
          <w:rFonts w:asciiTheme="majorHAnsi" w:hAnsiTheme="majorHAnsi"/>
          <w:sz w:val="22"/>
          <w:szCs w:val="22"/>
        </w:rPr>
        <w:t xml:space="preserve">.   However, </w:t>
      </w:r>
      <w:r w:rsidR="000243A6">
        <w:rPr>
          <w:rFonts w:asciiTheme="majorHAnsi" w:hAnsiTheme="majorHAnsi"/>
          <w:sz w:val="22"/>
          <w:szCs w:val="22"/>
        </w:rPr>
        <w:t>there was</w:t>
      </w:r>
      <w:r>
        <w:rPr>
          <w:rFonts w:asciiTheme="majorHAnsi" w:hAnsiTheme="majorHAnsi"/>
          <w:sz w:val="22"/>
          <w:szCs w:val="22"/>
        </w:rPr>
        <w:t xml:space="preserve"> significant interest among CCWG participants </w:t>
      </w:r>
      <w:r w:rsidR="000243A6">
        <w:rPr>
          <w:rFonts w:asciiTheme="majorHAnsi" w:hAnsiTheme="majorHAnsi"/>
          <w:sz w:val="22"/>
          <w:szCs w:val="22"/>
        </w:rPr>
        <w:t xml:space="preserve">to see </w:t>
      </w:r>
      <w:r w:rsidR="00B31EF3">
        <w:rPr>
          <w:rFonts w:asciiTheme="majorHAnsi" w:hAnsiTheme="majorHAnsi"/>
          <w:sz w:val="22"/>
          <w:szCs w:val="22"/>
        </w:rPr>
        <w:t xml:space="preserve">sustained attention to </w:t>
      </w:r>
      <w:r w:rsidR="000243A6">
        <w:rPr>
          <w:rFonts w:asciiTheme="majorHAnsi" w:hAnsiTheme="majorHAnsi"/>
          <w:sz w:val="22"/>
          <w:szCs w:val="22"/>
        </w:rPr>
        <w:t xml:space="preserve">SO/AC/Group implementation of </w:t>
      </w:r>
      <w:r w:rsidR="00083680">
        <w:rPr>
          <w:rFonts w:asciiTheme="majorHAnsi" w:hAnsiTheme="majorHAnsi"/>
          <w:sz w:val="22"/>
          <w:szCs w:val="22"/>
        </w:rPr>
        <w:t>[good practices]</w:t>
      </w:r>
      <w:r w:rsidR="000243A6">
        <w:rPr>
          <w:rFonts w:asciiTheme="majorHAnsi" w:hAnsiTheme="majorHAnsi"/>
          <w:sz w:val="22"/>
          <w:szCs w:val="22"/>
        </w:rPr>
        <w:t xml:space="preserve">.  </w:t>
      </w:r>
    </w:p>
    <w:p w14:paraId="51D429BB" w14:textId="61F1555A" w:rsidR="00BD3637" w:rsidRPr="00AE6146" w:rsidRDefault="00BD3637" w:rsidP="00BD3637">
      <w:pPr>
        <w:pStyle w:val="Normal1"/>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Recommendation 10 of the CCWG Final Proposal noted that further enhancements to SO/AC accountability </w:t>
      </w:r>
      <w:r>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60E6EEB8" w14:textId="76419225" w:rsidR="00BD3637" w:rsidRPr="000243A6" w:rsidRDefault="00B31EF3" w:rsidP="000243A6">
      <w:pPr>
        <w:pStyle w:val="Normal1"/>
        <w:spacing w:before="120"/>
        <w:ind w:left="720"/>
        <w:rPr>
          <w:rFonts w:asciiTheme="majorHAnsi" w:hAnsiTheme="majorHAnsi" w:cs="Arial"/>
          <w:sz w:val="22"/>
          <w:szCs w:val="22"/>
        </w:rPr>
      </w:pPr>
      <w:r>
        <w:rPr>
          <w:rFonts w:asciiTheme="majorHAnsi" w:eastAsia="Calibri" w:hAnsiTheme="majorHAnsi" w:cs="Arial"/>
          <w:sz w:val="22"/>
          <w:szCs w:val="22"/>
        </w:rPr>
        <w:t>“</w:t>
      </w:r>
      <w:r w:rsidR="00BD3637" w:rsidRPr="000243A6">
        <w:rPr>
          <w:rFonts w:asciiTheme="majorHAnsi" w:eastAsia="Calibri" w:hAnsiTheme="majorHAnsi" w:cs="Arial"/>
          <w:sz w:val="22"/>
          <w:szCs w:val="22"/>
        </w:rPr>
        <w:t>In Work Stream 2: Include the subject of SO and AC accountability as part of the work on the Accountability and Transparency Review process</w:t>
      </w:r>
      <w:r w:rsidR="00416717">
        <w:rPr>
          <w:rFonts w:asciiTheme="majorHAnsi" w:eastAsia="Calibri" w:hAnsiTheme="majorHAnsi" w:cs="Arial"/>
          <w:sz w:val="22"/>
          <w:szCs w:val="22"/>
        </w:rPr>
        <w:t xml:space="preserve"> ATRT</w:t>
      </w:r>
      <w:r>
        <w:rPr>
          <w:rFonts w:asciiTheme="majorHAnsi" w:eastAsia="Calibri" w:hAnsiTheme="majorHAnsi" w:cs="Arial"/>
          <w:sz w:val="22"/>
          <w:szCs w:val="22"/>
        </w:rPr>
        <w:t>”</w:t>
      </w:r>
    </w:p>
    <w:p w14:paraId="2DA77D96" w14:textId="77777777" w:rsidR="00416717" w:rsidRDefault="00416717" w:rsidP="000243A6">
      <w:pPr>
        <w:pStyle w:val="Normal1"/>
        <w:spacing w:before="120"/>
        <w:rPr>
          <w:rFonts w:asciiTheme="majorHAnsi" w:hAnsiTheme="majorHAnsi"/>
          <w:sz w:val="22"/>
        </w:rPr>
      </w:pPr>
      <w:r>
        <w:rPr>
          <w:rFonts w:asciiTheme="majorHAnsi" w:hAnsiTheme="majorHAnsi"/>
          <w:sz w:val="22"/>
        </w:rPr>
        <w:t xml:space="preserve">However, pubic comments suggested that ATRT reviews would not have the capacity to also </w:t>
      </w:r>
      <w:r w:rsidR="000243A6" w:rsidRPr="000243A6">
        <w:rPr>
          <w:rFonts w:asciiTheme="majorHAnsi" w:hAnsiTheme="majorHAnsi"/>
          <w:sz w:val="22"/>
        </w:rPr>
        <w:t xml:space="preserve">examine </w:t>
      </w:r>
      <w:r w:rsidR="000243A6">
        <w:rPr>
          <w:rFonts w:asciiTheme="majorHAnsi" w:hAnsiTheme="majorHAnsi"/>
          <w:sz w:val="22"/>
        </w:rPr>
        <w:t xml:space="preserve">the extent to which </w:t>
      </w:r>
      <w:r w:rsidR="000243A6" w:rsidRPr="000243A6">
        <w:rPr>
          <w:rFonts w:asciiTheme="majorHAnsi" w:hAnsiTheme="majorHAnsi"/>
          <w:sz w:val="22"/>
        </w:rPr>
        <w:t>SO/AC</w:t>
      </w:r>
      <w:r w:rsidR="000243A6">
        <w:rPr>
          <w:rFonts w:asciiTheme="majorHAnsi" w:hAnsiTheme="majorHAnsi"/>
          <w:sz w:val="22"/>
        </w:rPr>
        <w:t xml:space="preserve">/Groups have implemented </w:t>
      </w:r>
      <w:r w:rsidR="00083680">
        <w:rPr>
          <w:rFonts w:asciiTheme="majorHAnsi" w:hAnsiTheme="majorHAnsi"/>
          <w:sz w:val="22"/>
        </w:rPr>
        <w:t>[good practices]</w:t>
      </w:r>
      <w:r>
        <w:rPr>
          <w:rFonts w:asciiTheme="majorHAnsi" w:hAnsiTheme="majorHAnsi"/>
          <w:sz w:val="22"/>
        </w:rPr>
        <w:t>.</w:t>
      </w:r>
    </w:p>
    <w:p w14:paraId="3DA1C67C" w14:textId="3656EC05" w:rsidR="00416717" w:rsidRDefault="00416717" w:rsidP="00416717">
      <w:pPr>
        <w:pStyle w:val="Normal1"/>
        <w:spacing w:before="120"/>
        <w:rPr>
          <w:rFonts w:asciiTheme="majorHAnsi" w:hAnsiTheme="majorHAnsi"/>
          <w:sz w:val="22"/>
        </w:rPr>
      </w:pPr>
      <w:r>
        <w:rPr>
          <w:rFonts w:asciiTheme="majorHAnsi" w:hAnsiTheme="majorHAnsi"/>
          <w:sz w:val="22"/>
        </w:rPr>
        <w:t xml:space="preserve">Reflecting those comments, we recommend that </w:t>
      </w:r>
      <w:r w:rsidRPr="00416717">
        <w:rPr>
          <w:rFonts w:asciiTheme="majorHAnsi" w:hAnsiTheme="majorHAnsi"/>
          <w:sz w:val="22"/>
        </w:rPr>
        <w:t xml:space="preserve">the periodic Organizational Reviews conducted by ICANN could include an assessment of [good practices] </w:t>
      </w:r>
      <w:r>
        <w:rPr>
          <w:rFonts w:asciiTheme="majorHAnsi" w:hAnsiTheme="majorHAnsi"/>
          <w:sz w:val="22"/>
        </w:rPr>
        <w:t>in the AC/SO under review.   Those reviews are already provided for in Section 4.4 of ICANN Bylaws:</w:t>
      </w:r>
    </w:p>
    <w:p w14:paraId="0E08D39F" w14:textId="5B6F90EE" w:rsidR="00416717" w:rsidRPr="00416717" w:rsidRDefault="00416717" w:rsidP="00416717">
      <w:pPr>
        <w:pStyle w:val="Normal1"/>
        <w:spacing w:before="120"/>
        <w:ind w:left="720"/>
        <w:rPr>
          <w:rFonts w:asciiTheme="majorHAnsi" w:hAnsiTheme="majorHAnsi"/>
          <w:sz w:val="22"/>
        </w:rPr>
      </w:pPr>
      <w:r w:rsidRPr="00416717">
        <w:rPr>
          <w:rFonts w:asciiTheme="majorHAnsi" w:hAnsiTheme="majorHAnsi"/>
          <w:sz w:val="20"/>
        </w:rPr>
        <w:t>The goal of the review, to be undertaken pursuant to such criteria and standards as the Board shall direct, shall be to determine (</w:t>
      </w:r>
      <w:proofErr w:type="spellStart"/>
      <w:r w:rsidRPr="00416717">
        <w:rPr>
          <w:rFonts w:asciiTheme="majorHAnsi" w:hAnsiTheme="majorHAnsi"/>
          <w:sz w:val="20"/>
        </w:rPr>
        <w:t>i</w:t>
      </w:r>
      <w:proofErr w:type="spellEnd"/>
      <w:r w:rsidRPr="00416717">
        <w:rPr>
          <w:rFonts w:asciiTheme="majorHAnsi" w:hAnsiTheme="majorHAnsi"/>
          <w:sz w:val="20"/>
        </w:rPr>
        <w:t xml:space="preserve">) whether that organization, council or committee has a continuing purpose in the ICANN structure, (ii) if so, whether any change in structure or operations is desirable to improve its effectiveness and (iii) </w:t>
      </w:r>
      <w:r w:rsidRPr="00416717">
        <w:rPr>
          <w:rFonts w:asciiTheme="majorHAnsi" w:hAnsiTheme="majorHAnsi"/>
          <w:b/>
          <w:i/>
          <w:color w:val="auto"/>
          <w:sz w:val="20"/>
        </w:rPr>
        <w:t xml:space="preserve">whether that organization, council or committee is </w:t>
      </w:r>
      <w:r w:rsidRPr="00416717">
        <w:rPr>
          <w:rFonts w:asciiTheme="majorHAnsi" w:hAnsiTheme="majorHAnsi"/>
          <w:b/>
          <w:i/>
          <w:sz w:val="20"/>
        </w:rPr>
        <w:t>accountable to its constituencies</w:t>
      </w:r>
      <w:r w:rsidRPr="00416717">
        <w:rPr>
          <w:rFonts w:asciiTheme="majorHAnsi" w:hAnsiTheme="majorHAnsi"/>
          <w:b/>
          <w:i/>
          <w:sz w:val="22"/>
        </w:rPr>
        <w:t>, stakeholder groups, organizations and other stakeholders</w:t>
      </w:r>
      <w:r w:rsidRPr="00416717">
        <w:rPr>
          <w:rFonts w:asciiTheme="majorHAnsi" w:hAnsiTheme="majorHAnsi"/>
          <w:sz w:val="22"/>
        </w:rPr>
        <w:t>.</w:t>
      </w:r>
      <w:r>
        <w:rPr>
          <w:rFonts w:asciiTheme="majorHAnsi" w:hAnsiTheme="majorHAnsi"/>
          <w:sz w:val="22"/>
        </w:rPr>
        <w:t xml:space="preserve">  (emphasis added)</w:t>
      </w:r>
    </w:p>
    <w:p w14:paraId="0C667647" w14:textId="0997D10B" w:rsidR="00BD3637" w:rsidRPr="000243A6" w:rsidRDefault="00416717" w:rsidP="00416717">
      <w:pPr>
        <w:pStyle w:val="Normal1"/>
        <w:spacing w:before="120"/>
        <w:rPr>
          <w:rFonts w:asciiTheme="majorHAnsi" w:hAnsiTheme="majorHAnsi"/>
          <w:sz w:val="22"/>
        </w:rPr>
      </w:pPr>
      <w:r>
        <w:rPr>
          <w:rFonts w:asciiTheme="majorHAnsi" w:hAnsiTheme="majorHAnsi"/>
          <w:sz w:val="22"/>
        </w:rPr>
        <w:t xml:space="preserve">This existing ICANN Bylaws text would accommodate assessments of AC/SO implementation of [good practices].   The [good practices] documented here could be reflected in the </w:t>
      </w:r>
      <w:r w:rsidRPr="00416717">
        <w:rPr>
          <w:rFonts w:asciiTheme="majorHAnsi" w:hAnsiTheme="majorHAnsi"/>
          <w:sz w:val="22"/>
        </w:rPr>
        <w:t>Operational Standards</w:t>
      </w:r>
      <w:r w:rsidRPr="00416717">
        <w:rPr>
          <w:rFonts w:asciiTheme="majorHAnsi" w:hAnsiTheme="majorHAnsi"/>
          <w:sz w:val="22"/>
          <w:vertAlign w:val="superscript"/>
        </w:rPr>
        <w:footnoteReference w:id="7"/>
      </w:r>
      <w:r w:rsidRPr="00416717">
        <w:rPr>
          <w:rFonts w:asciiTheme="majorHAnsi" w:hAnsiTheme="majorHAnsi"/>
          <w:sz w:val="22"/>
        </w:rPr>
        <w:t xml:space="preserve"> </w:t>
      </w:r>
      <w:r>
        <w:rPr>
          <w:rFonts w:asciiTheme="majorHAnsi" w:hAnsiTheme="majorHAnsi"/>
          <w:sz w:val="22"/>
        </w:rPr>
        <w:t xml:space="preserve">developed by ICANN staff for Organizational Reviews.  These Operational Standards should also reflect CCWG recommendations that AC/SO/Groups are only expected to </w:t>
      </w:r>
      <w:r>
        <w:rPr>
          <w:rFonts w:asciiTheme="majorHAnsi" w:hAnsiTheme="majorHAnsi"/>
          <w:sz w:val="22"/>
          <w:szCs w:val="22"/>
        </w:rPr>
        <w:t>implement [good practices]</w:t>
      </w:r>
      <w:r w:rsidRPr="00794C04">
        <w:rPr>
          <w:rFonts w:asciiTheme="majorHAnsi" w:hAnsiTheme="majorHAnsi"/>
          <w:sz w:val="22"/>
          <w:szCs w:val="22"/>
        </w:rPr>
        <w:t xml:space="preserve"> to the extent </w:t>
      </w:r>
      <w:r>
        <w:rPr>
          <w:rFonts w:asciiTheme="majorHAnsi" w:hAnsiTheme="majorHAnsi"/>
          <w:sz w:val="22"/>
          <w:szCs w:val="22"/>
        </w:rPr>
        <w:t xml:space="preserve">that </w:t>
      </w:r>
      <w:r w:rsidRPr="00794C04">
        <w:rPr>
          <w:rFonts w:asciiTheme="majorHAnsi" w:hAnsiTheme="majorHAnsi"/>
          <w:sz w:val="22"/>
          <w:szCs w:val="22"/>
        </w:rPr>
        <w:t>these practices are applicable and an improvement over present practices</w:t>
      </w:r>
      <w:r>
        <w:rPr>
          <w:rFonts w:asciiTheme="majorHAnsi" w:hAnsiTheme="majorHAnsi"/>
          <w:sz w:val="22"/>
          <w:szCs w:val="22"/>
        </w:rPr>
        <w:t>, in the view of AC/SO/Group participants</w:t>
      </w:r>
      <w:r w:rsidRPr="00794C04">
        <w:rPr>
          <w:rFonts w:asciiTheme="majorHAnsi" w:hAnsiTheme="majorHAnsi"/>
          <w:sz w:val="22"/>
          <w:szCs w:val="22"/>
        </w:rPr>
        <w:t xml:space="preserve">. </w:t>
      </w:r>
      <w:r>
        <w:rPr>
          <w:rFonts w:asciiTheme="majorHAnsi" w:hAnsiTheme="majorHAnsi"/>
          <w:sz w:val="22"/>
          <w:szCs w:val="22"/>
        </w:rPr>
        <w:t xml:space="preserve"> Again, w</w:t>
      </w:r>
      <w:r w:rsidRPr="00CD29C5">
        <w:rPr>
          <w:rFonts w:asciiTheme="majorHAnsi" w:hAnsiTheme="majorHAnsi"/>
          <w:sz w:val="22"/>
          <w:szCs w:val="22"/>
        </w:rPr>
        <w:t xml:space="preserve">e </w:t>
      </w:r>
      <w:r>
        <w:rPr>
          <w:rFonts w:asciiTheme="majorHAnsi" w:hAnsiTheme="majorHAnsi"/>
          <w:sz w:val="22"/>
          <w:szCs w:val="22"/>
        </w:rPr>
        <w:t>do</w:t>
      </w:r>
      <w:r w:rsidRPr="00CD29C5">
        <w:rPr>
          <w:rFonts w:asciiTheme="majorHAnsi" w:hAnsiTheme="majorHAnsi"/>
          <w:sz w:val="22"/>
          <w:szCs w:val="22"/>
        </w:rPr>
        <w:t xml:space="preserve"> not </w:t>
      </w:r>
      <w:r>
        <w:rPr>
          <w:rFonts w:asciiTheme="majorHAnsi" w:hAnsiTheme="majorHAnsi"/>
          <w:sz w:val="22"/>
          <w:szCs w:val="22"/>
        </w:rPr>
        <w:t>recommend that implementation of these practices be required by AC/SO/Groups.</w:t>
      </w:r>
    </w:p>
    <w:p w14:paraId="203B554F" w14:textId="77777777" w:rsidR="00416717" w:rsidRPr="001837AC" w:rsidRDefault="00416717" w:rsidP="000243A6">
      <w:pPr>
        <w:pStyle w:val="Normal1"/>
        <w:spacing w:before="120"/>
        <w:rPr>
          <w:rFonts w:asciiTheme="majorHAnsi" w:hAnsiTheme="majorHAnsi"/>
        </w:rPr>
      </w:pPr>
    </w:p>
    <w:p w14:paraId="4B7EA72C" w14:textId="64E78C99" w:rsidR="00567EA6" w:rsidRDefault="00567EA6" w:rsidP="00567EA6">
      <w:pPr>
        <w:pStyle w:val="Heading3"/>
      </w:pPr>
      <w:bookmarkStart w:id="8" w:name="_Toc349128812"/>
      <w:bookmarkStart w:id="9" w:name="_Toc361929837"/>
      <w:r>
        <w:t>Review and draft recommendations regarding SO/AC Accountability</w:t>
      </w:r>
      <w:bookmarkEnd w:id="8"/>
      <w:bookmarkEnd w:id="9"/>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008E20C5" w:rsidR="00567EA6" w:rsidRDefault="00567EA6" w:rsidP="00567EA6">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0C148B1" w14:textId="0D261CC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3. Mechanisms for challenging or appealing elections.   Does your </w:t>
      </w:r>
      <w:r w:rsidR="000243A6">
        <w:rPr>
          <w:rFonts w:asciiTheme="majorHAnsi" w:hAnsiTheme="majorHAnsi"/>
          <w:sz w:val="22"/>
          <w:szCs w:val="22"/>
        </w:rPr>
        <w:t>SO/AC</w:t>
      </w:r>
      <w:r w:rsidRPr="0033123F">
        <w:rPr>
          <w:rFonts w:asciiTheme="majorHAnsi" w:hAnsiTheme="majorHAnsi"/>
          <w:sz w:val="22"/>
          <w:szCs w:val="22"/>
        </w:rPr>
        <w:t xml:space="preserve"> have mechanisms by which your members can challenge or appeal decisions and elections? Please include link where they can be consulted.</w:t>
      </w:r>
    </w:p>
    <w:p w14:paraId="369EA6BA" w14:textId="25F221B6"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4. Any unwritten policies related to accountability. Does your </w:t>
      </w:r>
      <w:r w:rsidR="000243A6">
        <w:rPr>
          <w:rFonts w:asciiTheme="majorHAnsi" w:hAnsiTheme="majorHAnsi"/>
          <w:sz w:val="22"/>
          <w:szCs w:val="22"/>
        </w:rPr>
        <w:t>SO/AC</w:t>
      </w:r>
      <w:r w:rsidRPr="0033123F">
        <w:rPr>
          <w:rFonts w:asciiTheme="majorHAnsi" w:hAnsiTheme="majorHAnsi"/>
          <w:sz w:val="22"/>
          <w:szCs w:val="22"/>
        </w:rPr>
        <w:t xml:space="preserve">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8A642E">
      <w:pPr>
        <w:pStyle w:val="Normal1"/>
        <w:numPr>
          <w:ilvl w:val="0"/>
          <w:numId w:val="35"/>
        </w:numPr>
        <w:spacing w:before="120"/>
        <w:rPr>
          <w:rFonts w:ascii="Calibri" w:eastAsia="Calibri" w:hAnsi="Calibri" w:cs="Calibri"/>
          <w:sz w:val="20"/>
          <w:szCs w:val="22"/>
        </w:rPr>
      </w:pPr>
      <w:r w:rsidRPr="00362679">
        <w:rPr>
          <w:rFonts w:ascii="Calibri" w:eastAsia="Calibri" w:hAnsi="Calibri" w:cs="Calibri"/>
          <w:sz w:val="20"/>
          <w:szCs w:val="22"/>
        </w:rPr>
        <w:lastRenderedPageBreak/>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7815B2" w:rsidP="008320E0">
      <w:pPr>
        <w:pStyle w:val="Normal1"/>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7815B2"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7815B2"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7815B2"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7815B2"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In general, we do not have rules formally appealing decisions or elections. Some RALOs rely (somewhat inappropriately, but for historic reasons) on the United Nations General Assembly Rules of Procedure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ALAC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do provide to the recall of all appointments (including ALAC Chair and Leadership Team) and the dismissal of ALAC members (both those appointed by RALOs and the NomCom).</w:t>
      </w:r>
    </w:p>
    <w:p w14:paraId="5EC04F01" w14:textId="5BF3F2A8"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8A642E">
      <w:pPr>
        <w:pStyle w:val="Normal1"/>
        <w:numPr>
          <w:ilvl w:val="0"/>
          <w:numId w:val="36"/>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8A642E">
      <w:pPr>
        <w:pStyle w:val="Normal1"/>
        <w:numPr>
          <w:ilvl w:val="0"/>
          <w:numId w:val="36"/>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w:t>
        </w:r>
        <w:proofErr w:type="spellStart"/>
        <w:r w:rsidRPr="00623C32">
          <w:rPr>
            <w:rStyle w:val="Hyperlink"/>
            <w:rFonts w:ascii="Calibri" w:eastAsia="Calibri" w:hAnsi="Calibri" w:cs="Calibri"/>
            <w:sz w:val="20"/>
            <w:szCs w:val="22"/>
          </w:rPr>
          <w:t>aso</w:t>
        </w:r>
        <w:proofErr w:type="spellEnd"/>
        <w:r w:rsidRPr="00623C32">
          <w:rPr>
            <w:rStyle w:val="Hyperlink"/>
            <w:rFonts w:ascii="Calibri" w:eastAsia="Calibri" w:hAnsi="Calibri" w:cs="Calibri"/>
            <w:sz w:val="20"/>
            <w:szCs w:val="22"/>
          </w:rPr>
          <w:t>-ac/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ccNSO has developed a range of guidelines, which define and delineate the accountability of the ccNSO Council with respect to the ccNSO membership and broader ccTLD community. These guidelines </w:t>
      </w:r>
      <w:r w:rsidRPr="009903FD">
        <w:rPr>
          <w:rFonts w:ascii="Calibri" w:eastAsia="Calibri" w:hAnsi="Calibri" w:cs="Calibri" w:hint="eastAsia"/>
          <w:sz w:val="20"/>
          <w:szCs w:val="22"/>
        </w:rPr>
        <w:lastRenderedPageBreak/>
        <w:t>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8A642E">
      <w:pPr>
        <w:pStyle w:val="Normal1"/>
        <w:numPr>
          <w:ilvl w:val="0"/>
          <w:numId w:val="37"/>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w:t>
      </w:r>
      <w:r w:rsidRPr="009903FD">
        <w:rPr>
          <w:rFonts w:ascii="Calibri" w:eastAsia="Calibri" w:hAnsi="Calibri" w:cs="Calibri"/>
          <w:sz w:val="20"/>
          <w:szCs w:val="22"/>
        </w:rPr>
        <w:lastRenderedPageBreak/>
        <w:t xml:space="preserve">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8A642E">
      <w:pPr>
        <w:pStyle w:val="Normal1"/>
        <w:numPr>
          <w:ilvl w:val="0"/>
          <w:numId w:val="13"/>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w:t>
      </w:r>
      <w:r w:rsidRPr="00FA757B">
        <w:rPr>
          <w:rFonts w:ascii="Calibri" w:eastAsia="Calibri" w:hAnsi="Calibri" w:cs="Calibri"/>
          <w:sz w:val="20"/>
          <w:szCs w:val="22"/>
        </w:rPr>
        <w:lastRenderedPageBreak/>
        <w:t xml:space="preserve">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4"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5"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610520C" w14:textId="4CF13905" w:rsidR="00884A3E" w:rsidRDefault="00884A3E" w:rsidP="008A642E">
      <w:pPr>
        <w:pStyle w:val="Normal1"/>
        <w:numPr>
          <w:ilvl w:val="0"/>
          <w:numId w:val="52"/>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2BAD4F5F" w14:textId="1EDA9C0C"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well-defined: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2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6CF1DF0F" w14:textId="591947F5" w:rsidR="005573CE" w:rsidRDefault="005573CE" w:rsidP="008A642E">
      <w:pPr>
        <w:pStyle w:val="Normal1"/>
        <w:numPr>
          <w:ilvl w:val="0"/>
          <w:numId w:val="52"/>
        </w:numPr>
        <w:spacing w:before="120"/>
        <w:rPr>
          <w:rFonts w:ascii="Calibri" w:eastAsia="Calibri" w:hAnsi="Calibri" w:cs="Calibri"/>
          <w:sz w:val="20"/>
          <w:szCs w:val="22"/>
        </w:rPr>
      </w:pPr>
      <w:r w:rsidRPr="005573CE">
        <w:rPr>
          <w:rFonts w:ascii="Calibri" w:eastAsia="Calibri" w:hAnsi="Calibri" w:cs="Calibri"/>
          <w:sz w:val="20"/>
          <w:szCs w:val="22"/>
        </w:rPr>
        <w:t>Members can challenge the eligibility of a candidate for office.  If a Member believes that an elected officer has become ineligible since being elected, or is engaged in a conflict of interest or other disqualifying activity, they may submit a motion for removal, which would be subject to the rules in Sec. 7 of the Charter.</w:t>
      </w:r>
    </w:p>
    <w:p w14:paraId="39EA5A58" w14:textId="42B933C4" w:rsidR="005573CE" w:rsidRPr="00884A3E" w:rsidRDefault="005573C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 xml:space="preserve">Unwritten policies? No.  </w:t>
      </w:r>
      <w:r w:rsidRPr="005573CE">
        <w:rPr>
          <w:rFonts w:ascii="Calibri" w:eastAsia="Calibri" w:hAnsi="Calibri" w:cs="Calibri"/>
          <w:sz w:val="20"/>
          <w:szCs w:val="22"/>
        </w:rPr>
        <w:t>We have often discussed the continued definition and usefulness of disqualifying elected officers who have acce</w:t>
      </w:r>
      <w:r w:rsidR="00484C69">
        <w:rPr>
          <w:rFonts w:ascii="Calibri" w:eastAsia="Calibri" w:hAnsi="Calibri" w:cs="Calibri"/>
          <w:sz w:val="20"/>
          <w:szCs w:val="22"/>
        </w:rPr>
        <w:t xml:space="preserve">ss to “Registry Proprietary or </w:t>
      </w:r>
      <w:r w:rsidRPr="005573CE">
        <w:rPr>
          <w:rFonts w:ascii="Calibri" w:eastAsia="Calibri" w:hAnsi="Calibri" w:cs="Calibri"/>
          <w:sz w:val="20"/>
          <w:szCs w:val="22"/>
        </w:rPr>
        <w:t xml:space="preserve">Sensitive Information,” but always defer to the Charter in those situations.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8A642E">
      <w:pPr>
        <w:pStyle w:val="Normal1"/>
        <w:numPr>
          <w:ilvl w:val="0"/>
          <w:numId w:val="51"/>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bdo>
    </w:p>
    <w:p w14:paraId="36620CA7" w14:textId="40D153E8" w:rsidR="00152854" w:rsidRDefault="00152854" w:rsidP="008A642E">
      <w:pPr>
        <w:pStyle w:val="Normal1"/>
        <w:numPr>
          <w:ilvl w:val="0"/>
          <w:numId w:val="50"/>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Caucus Membership Committee periodically reviews the composition of the RSSAC Caucus and may remove members in consultation with RSSAC. On the request of the person concerned, the RSSAC </w:t>
      </w:r>
      <w:r w:rsidRPr="00413145">
        <w:rPr>
          <w:rFonts w:ascii="Calibri" w:eastAsia="Calibri" w:hAnsi="Calibri" w:cs="Calibri"/>
          <w:sz w:val="20"/>
          <w:szCs w:val="22"/>
        </w:rPr>
        <w:lastRenderedPageBreak/>
        <w:t>Caucus Membership Committee explains its decision to remove that person from the RSSAC Caucus. (RSSAC 000v2, Section 2.5)</w:t>
      </w:r>
    </w:p>
    <w:p w14:paraId="176A4AB3" w14:textId="66129EBC"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5CF6066"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16AA36F8" w:rsidR="009561AF" w:rsidRPr="00B24F7D" w:rsidRDefault="009561AF" w:rsidP="00484C22">
      <w:pPr>
        <w:pStyle w:val="Normal1"/>
        <w:numPr>
          <w:ilvl w:val="0"/>
          <w:numId w:val="64"/>
        </w:numPr>
        <w:spacing w:before="120"/>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 xml:space="preserve">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21EC8916" w:rsidR="006134BF" w:rsidRPr="006063E5" w:rsidRDefault="006134BF"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4B48D9E5" w:rsidR="00FE540F" w:rsidRPr="001C5BCF" w:rsidRDefault="001C5BCF" w:rsidP="00484C22">
      <w:pPr>
        <w:pStyle w:val="Normal1"/>
        <w:numPr>
          <w:ilvl w:val="0"/>
          <w:numId w:val="64"/>
        </w:numPr>
        <w:spacing w:before="120"/>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4633AD80" w:rsidR="00D45DD6" w:rsidRDefault="00D45DD6"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185DDC5" w:rsidR="00FE166F" w:rsidRPr="009561AF" w:rsidRDefault="00FE166F" w:rsidP="00484C22">
      <w:pPr>
        <w:pStyle w:val="Normal1"/>
        <w:numPr>
          <w:ilvl w:val="0"/>
          <w:numId w:val="64"/>
        </w:numPr>
        <w:spacing w:before="120"/>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10" w:name="_Toc349068881"/>
      <w:bookmarkStart w:id="11" w:name="_Toc349128813"/>
      <w:bookmarkStart w:id="12" w:name="_Toc361929838"/>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3" w:name="_gjdgxs" w:colFirst="0" w:colLast="0"/>
      <w:bookmarkEnd w:id="13"/>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36EDD3D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w:t>
      </w:r>
    </w:p>
    <w:p w14:paraId="7C6A128E" w14:textId="7CFCFC66" w:rsidR="00A97B7C" w:rsidRDefault="00A97B7C" w:rsidP="00A97B7C">
      <w:pPr>
        <w:pStyle w:val="Normal1"/>
        <w:ind w:left="720"/>
      </w:pPr>
      <w:r>
        <w:rPr>
          <w:rFonts w:ascii="Calibri" w:eastAsia="Calibri" w:hAnsi="Calibri" w:cs="Calibri"/>
          <w:sz w:val="22"/>
          <w:szCs w:val="22"/>
        </w:rPr>
        <w:t xml:space="preserve">“What are the published policies and procedures by which your </w:t>
      </w:r>
      <w:r w:rsidR="000243A6">
        <w:rPr>
          <w:rFonts w:ascii="Calibri" w:eastAsia="Calibri" w:hAnsi="Calibri" w:cs="Calibri"/>
          <w:sz w:val="22"/>
          <w:szCs w:val="22"/>
        </w:rPr>
        <w:t>SO/AC</w:t>
      </w:r>
      <w:r>
        <w:rPr>
          <w:rFonts w:ascii="Calibri" w:eastAsia="Calibri" w:hAnsi="Calibri" w:cs="Calibri"/>
          <w:sz w:val="22"/>
          <w:szCs w:val="22"/>
        </w:rPr>
        <w:t xml:space="preserve"> is accountable to the designated community that you serve? Specifically, </w:t>
      </w:r>
      <w:r>
        <w:rPr>
          <w:rFonts w:ascii="Calibri" w:eastAsia="Calibri" w:hAnsi="Calibri" w:cs="Calibri"/>
          <w:b/>
          <w:sz w:val="22"/>
          <w:szCs w:val="22"/>
        </w:rPr>
        <w:t xml:space="preserve">transparency mechanisms for your </w:t>
      </w:r>
      <w:r w:rsidR="000243A6">
        <w:rPr>
          <w:rFonts w:ascii="Calibri" w:eastAsia="Calibri" w:hAnsi="Calibri" w:cs="Calibri"/>
          <w:b/>
          <w:sz w:val="22"/>
          <w:szCs w:val="22"/>
        </w:rPr>
        <w:t>SO/AC</w:t>
      </w:r>
      <w:r>
        <w:rPr>
          <w:rFonts w:ascii="Calibri" w:eastAsia="Calibri" w:hAnsi="Calibri" w:cs="Calibri"/>
          <w:b/>
          <w:sz w:val="22"/>
          <w:szCs w:val="22"/>
        </w:rPr>
        <w:t xml:space="preserve"> deliberations, decisions and elections</w:t>
      </w:r>
      <w:r>
        <w:rPr>
          <w:rFonts w:ascii="Calibri" w:eastAsia="Calibri" w:hAnsi="Calibri" w:cs="Calibri"/>
          <w:sz w:val="22"/>
          <w:szCs w:val="22"/>
        </w:rPr>
        <w:t>.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1">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2">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8A642E">
      <w:pPr>
        <w:pStyle w:val="Normal1"/>
        <w:widowControl w:val="0"/>
        <w:numPr>
          <w:ilvl w:val="0"/>
          <w:numId w:val="2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 xml:space="preserve">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There is a potential for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3">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4">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w:t>
      </w:r>
      <w:proofErr w:type="spellStart"/>
      <w:r w:rsidRPr="00A97B7C">
        <w:rPr>
          <w:rFonts w:asciiTheme="majorHAnsi" w:eastAsia="Calibri" w:hAnsiTheme="majorHAnsi" w:cs="Calibri"/>
          <w:sz w:val="20"/>
          <w:szCs w:val="20"/>
        </w:rPr>
        <w:t>ccTLDs</w:t>
      </w:r>
      <w:proofErr w:type="spellEnd"/>
      <w:r w:rsidRPr="00A97B7C">
        <w:rPr>
          <w:rFonts w:asciiTheme="majorHAnsi" w:eastAsia="Calibri" w:hAnsiTheme="majorHAnsi" w:cs="Calibri"/>
          <w:sz w:val="20"/>
          <w:szCs w:val="20"/>
        </w:rPr>
        <w:t xml:space="preserve"> to be present at ccNSO meetings. </w:t>
      </w:r>
    </w:p>
    <w:p w14:paraId="5BA156AC"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5">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Materials on GAC membership, meetings, key topics, correspondence and meeting notes are published on the GAC website.</w:t>
      </w:r>
    </w:p>
    <w:p w14:paraId="006769E0"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8A642E">
      <w:pPr>
        <w:pStyle w:val="Normal1"/>
        <w:widowControl w:val="0"/>
        <w:numPr>
          <w:ilvl w:val="0"/>
          <w:numId w:val="27"/>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6">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7">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8">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9">
        <w:r w:rsidRPr="00A97B7C">
          <w:rPr>
            <w:rFonts w:asciiTheme="majorHAnsi" w:eastAsia="Calibri" w:hAnsiTheme="majorHAnsi" w:cs="Calibri"/>
            <w:color w:val="0000FF"/>
            <w:sz w:val="20"/>
            <w:szCs w:val="20"/>
            <w:u w:val="single"/>
          </w:rPr>
          <w:t>https://forum.icann.org/lists/bc-gnso/</w:t>
        </w:r>
      </w:hyperlink>
      <w:hyperlink r:id="rId40">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1">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2">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3">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4">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5">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6">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7">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8">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9">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NCSG Bylaws are published at </w:t>
      </w:r>
      <w:hyperlink r:id="rId50">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1"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2">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3">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4">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5">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6">
        <w:r w:rsidRPr="00A97B7C">
          <w:rPr>
            <w:rFonts w:asciiTheme="majorHAnsi" w:eastAsia="Calibri" w:hAnsiTheme="majorHAnsi" w:cs="Calibri"/>
            <w:color w:val="0000FF"/>
            <w:sz w:val="20"/>
            <w:szCs w:val="20"/>
            <w:u w:val="single"/>
          </w:rPr>
          <w:t>http://www.ncuc.org/governance/executive-committee/</w:t>
        </w:r>
      </w:hyperlink>
      <w:hyperlink r:id="rId57">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8">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9">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0">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1"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2"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3"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4"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5"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1FDC352C" w14:textId="06818680" w:rsidR="00884A3E" w:rsidRPr="00884A3E" w:rsidRDefault="00E21BC1" w:rsidP="008A642E">
      <w:pPr>
        <w:pStyle w:val="Normal1"/>
        <w:numPr>
          <w:ilvl w:val="0"/>
          <w:numId w:val="52"/>
        </w:numPr>
        <w:spacing w:before="120"/>
        <w:rPr>
          <w:rFonts w:ascii="Calibri" w:eastAsia="Calibri" w:hAnsi="Calibri" w:cs="Calibri"/>
          <w:sz w:val="20"/>
          <w:szCs w:val="22"/>
        </w:rPr>
      </w:pPr>
      <w:r w:rsidRPr="00E21BC1">
        <w:rPr>
          <w:rFonts w:ascii="Calibri" w:eastAsia="Calibri" w:hAnsi="Calibri" w:cs="Calibri"/>
          <w:sz w:val="20"/>
          <w:szCs w:val="22"/>
        </w:rPr>
        <w:t xml:space="preserve">The </w:t>
      </w:r>
      <w:proofErr w:type="spellStart"/>
      <w:r w:rsidRPr="00E21BC1">
        <w:rPr>
          <w:rFonts w:ascii="Calibri" w:eastAsia="Calibri" w:hAnsi="Calibri" w:cs="Calibri"/>
          <w:sz w:val="20"/>
          <w:szCs w:val="22"/>
        </w:rPr>
        <w:t>RrSG</w:t>
      </w:r>
      <w:proofErr w:type="spellEnd"/>
      <w:r w:rsidRPr="00E21BC1">
        <w:rPr>
          <w:rFonts w:ascii="Calibri" w:eastAsia="Calibri" w:hAnsi="Calibri" w:cs="Calibri"/>
          <w:sz w:val="20"/>
          <w:szCs w:val="22"/>
        </w:rPr>
        <w:t xml:space="preserve"> commitment to transparency is first mentioned in Sec. 2.6.  Additionally, rules and procedures for group decisions (Motions, elections, “Fast Track” issues, budget approval, etc.) are also defined in the Charter.</w:t>
      </w:r>
      <w:r w:rsidR="00884A3E">
        <w:rPr>
          <w:rFonts w:ascii="Calibri" w:eastAsia="Calibri" w:hAnsi="Calibri" w:cs="Calibri"/>
          <w:sz w:val="20"/>
          <w:szCs w:val="22"/>
        </w:rPr>
        <w:t xml:space="preserve"> </w:t>
      </w:r>
      <w:r w:rsidRPr="00E21BC1">
        <w:rPr>
          <w:rFonts w:ascii="Calibri" w:eastAsia="Calibri" w:hAnsi="Calibri" w:cs="Calibri"/>
          <w:sz w:val="20"/>
          <w:szCs w:val="22"/>
        </w:rPr>
        <w:t>(</w:t>
      </w:r>
      <w:hyperlink r:id="rId66"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8A642E">
      <w:pPr>
        <w:pStyle w:val="Normal1"/>
        <w:numPr>
          <w:ilvl w:val="0"/>
          <w:numId w:val="51"/>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bdo>
    </w:p>
    <w:p w14:paraId="4E45E26B"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lastRenderedPageBreak/>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7">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8">
        <w:r w:rsidRPr="00A97B7C">
          <w:rPr>
            <w:rFonts w:asciiTheme="majorHAnsi" w:eastAsia="Calibri" w:hAnsiTheme="majorHAnsi" w:cs="Calibri"/>
            <w:color w:val="0000FF"/>
            <w:sz w:val="20"/>
            <w:szCs w:val="20"/>
            <w:u w:val="single"/>
          </w:rPr>
          <w:t>https://www.icann.org/en/system/files/files/operational-procedures-20jun16-en.pdf</w:t>
        </w:r>
      </w:hyperlink>
      <w:hyperlink r:id="rId69">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0">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1">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2">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3">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74C50A5D"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w:t>
      </w:r>
      <w:r w:rsidR="0039276C">
        <w:rPr>
          <w:rFonts w:asciiTheme="majorHAnsi" w:hAnsiTheme="majorHAnsi"/>
          <w:b/>
          <w:sz w:val="22"/>
        </w:rPr>
        <w:t>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61D9EFA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11AB9566"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11C3E350" w14:textId="77777777" w:rsidR="007B6363" w:rsidRDefault="00A97B7C" w:rsidP="007B6363">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A0D884F" w14:textId="22F42F55" w:rsidR="007B6363" w:rsidRPr="007B6363" w:rsidRDefault="00A97B7C" w:rsidP="007B6363">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 xml:space="preserve">Meetings and calls of SO/ACs and </w:t>
      </w:r>
      <w:r w:rsidR="0039276C" w:rsidRPr="007B6363">
        <w:rPr>
          <w:rFonts w:ascii="Calibri" w:eastAsia="Calibri" w:hAnsi="Calibri" w:cs="Calibri"/>
          <w:sz w:val="22"/>
          <w:szCs w:val="22"/>
        </w:rPr>
        <w:t>Group</w:t>
      </w:r>
      <w:r w:rsidRPr="007B6363">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7B6363" w:rsidRPr="007B6363">
        <w:rPr>
          <w:rFonts w:ascii="Calibri" w:eastAsia="Calibri" w:hAnsi="Calibri" w:cs="Calibri"/>
          <w:sz w:val="22"/>
          <w:szCs w:val="22"/>
        </w:rPr>
        <w:t>Examples of appropriate reasons include discussion of:</w:t>
      </w:r>
    </w:p>
    <w:p w14:paraId="64331910"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trade secrets or sensitive commercial information whose disclosure would cause harm to a person or organization's legitimate commercial or financial interests or competitive position.</w:t>
      </w:r>
    </w:p>
    <w:p w14:paraId="175556E7"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internal strategic planning whose disclosure would likely compromise the efficacy of the chosen course.</w:t>
      </w:r>
    </w:p>
    <w:p w14:paraId="3FF3987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whose disclosure would constitute an invasion of personal privacy, such as medical records.</w:t>
      </w:r>
    </w:p>
    <w:p w14:paraId="7F2CB7B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 xml:space="preserve">information whose disclosure has the potential to harm the security and stability of the </w:t>
      </w:r>
      <w:r w:rsidRPr="0057564D">
        <w:rPr>
          <w:rFonts w:ascii="Calibri" w:eastAsia="Calibri" w:hAnsi="Calibri" w:cs="Calibri"/>
          <w:sz w:val="22"/>
          <w:szCs w:val="22"/>
        </w:rPr>
        <w:lastRenderedPageBreak/>
        <w:t>Internet.</w:t>
      </w:r>
    </w:p>
    <w:p w14:paraId="1F5DE44E" w14:textId="68B9B9BB" w:rsidR="00A97B7C" w:rsidRPr="007B6363" w:rsidRDefault="007B6363" w:rsidP="007B6363">
      <w:pPr>
        <w:pStyle w:val="Normal1"/>
        <w:widowControl w:val="0"/>
        <w:numPr>
          <w:ilvl w:val="0"/>
          <w:numId w:val="60"/>
        </w:numPr>
        <w:spacing w:before="120"/>
        <w:rPr>
          <w:rFonts w:ascii="Calibri" w:eastAsia="Calibri" w:hAnsi="Calibri" w:cs="Calibri"/>
          <w:sz w:val="22"/>
          <w:szCs w:val="22"/>
        </w:rPr>
      </w:pPr>
      <w:r w:rsidRPr="0057564D">
        <w:rPr>
          <w:rFonts w:ascii="Calibri" w:eastAsia="Calibri" w:hAnsi="Calibri" w:cs="Calibri"/>
          <w:sz w:val="22"/>
          <w:szCs w:val="22"/>
        </w:rPr>
        <w:t>information that, if disclosed, would be likely to endanger the life, health, or safety of any individual or materially prejudice the administration of justice.</w:t>
      </w:r>
    </w:p>
    <w:p w14:paraId="700C3C14" w14:textId="0B789B30" w:rsidR="00A97B7C" w:rsidRDefault="007B6363" w:rsidP="008A642E">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Notes, minutes, or records of all membership meetings should be made publicly available.</w:t>
      </w:r>
    </w:p>
    <w:p w14:paraId="2069D0DD"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61929839"/>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AB80412"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w:t>
      </w:r>
      <w:proofErr w:type="spellStart"/>
      <w:r w:rsidRPr="001837AC">
        <w:rPr>
          <w:rFonts w:ascii="Calibri" w:eastAsia="Calibri" w:hAnsi="Calibri" w:cs="Calibri"/>
          <w:sz w:val="20"/>
          <w:szCs w:val="22"/>
        </w:rPr>
        <w:t>ALSes</w:t>
      </w:r>
      <w:proofErr w:type="spellEnd"/>
      <w:r w:rsidRPr="001837AC">
        <w:rPr>
          <w:rFonts w:ascii="Calibri" w:eastAsia="Calibri" w:hAnsi="Calibri" w:cs="Calibri"/>
          <w:sz w:val="20"/>
          <w:szCs w:val="22"/>
        </w:rPr>
        <w:t xml:space="preserve"> are documented within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and (related to decertification) in the RALO rules coupled with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w:t>
      </w:r>
    </w:p>
    <w:p w14:paraId="61510551"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Who can vote in elections is defined in the appropriate ALAC or RALO rules. Each RALO is free to set its own position on issues and the ALAC speaks for itself and all of </w:t>
      </w:r>
      <w:proofErr w:type="spellStart"/>
      <w:r w:rsidRPr="001837AC">
        <w:rPr>
          <w:rFonts w:ascii="Calibri" w:eastAsia="Calibri" w:hAnsi="Calibri" w:cs="Calibri"/>
          <w:sz w:val="20"/>
          <w:szCs w:val="22"/>
        </w:rPr>
        <w:t>AtLarge</w:t>
      </w:r>
      <w:proofErr w:type="spellEnd"/>
      <w:r w:rsidRPr="001837AC">
        <w:rPr>
          <w:rFonts w:ascii="Calibri" w:eastAsia="Calibri" w:hAnsi="Calibri" w:cs="Calibri"/>
          <w:sz w:val="20"/>
          <w:szCs w:val="22"/>
        </w:rPr>
        <w:t xml:space="preserv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8A642E">
      <w:pPr>
        <w:pStyle w:val="Normal1"/>
        <w:numPr>
          <w:ilvl w:val="0"/>
          <w:numId w:val="40"/>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4"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5"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6"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8A642E">
      <w:pPr>
        <w:pStyle w:val="Normal1"/>
        <w:widowControl w:val="0"/>
        <w:numPr>
          <w:ilvl w:val="0"/>
          <w:numId w:val="41"/>
        </w:numPr>
        <w:spacing w:before="120"/>
        <w:rPr>
          <w:sz w:val="22"/>
        </w:rPr>
      </w:pPr>
      <w:r w:rsidRPr="001837AC">
        <w:rPr>
          <w:rFonts w:ascii="Calibri" w:eastAsia="Calibri" w:hAnsi="Calibri" w:cs="Calibri"/>
          <w:sz w:val="20"/>
          <w:szCs w:val="22"/>
        </w:rPr>
        <w:lastRenderedPageBreak/>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8A642E">
      <w:pPr>
        <w:pStyle w:val="Normal1"/>
        <w:numPr>
          <w:ilvl w:val="0"/>
          <w:numId w:val="42"/>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All GAC face-to-face meeting sessions are open (</w:t>
      </w:r>
      <w:proofErr w:type="spellStart"/>
      <w:r w:rsidRPr="001837AC">
        <w:rPr>
          <w:rFonts w:ascii="Calibri" w:eastAsia="Calibri" w:hAnsi="Calibri" w:cs="Calibri"/>
          <w:sz w:val="20"/>
          <w:szCs w:val="22"/>
        </w:rPr>
        <w:t>recognising</w:t>
      </w:r>
      <w:proofErr w:type="spellEnd"/>
      <w:r w:rsidRPr="001837AC">
        <w:rPr>
          <w:rFonts w:ascii="Calibri" w:eastAsia="Calibri" w:hAnsi="Calibri" w:cs="Calibri"/>
          <w:sz w:val="20"/>
          <w:szCs w:val="22"/>
        </w:rPr>
        <w:t xml:space="preserve"> community feedback on this point) and anyone interested can follow them in real time as well as through recordings and transcripts. </w:t>
      </w:r>
    </w:p>
    <w:p w14:paraId="35BCA658"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w:t>
      </w:r>
      <w:proofErr w:type="spellStart"/>
      <w:r w:rsidRPr="001837AC">
        <w:rPr>
          <w:rFonts w:ascii="Calibri" w:eastAsia="Calibri" w:hAnsi="Calibri" w:cs="Calibri"/>
          <w:sz w:val="20"/>
          <w:szCs w:val="22"/>
        </w:rPr>
        <w:t>audiocast</w:t>
      </w:r>
      <w:proofErr w:type="spellEnd"/>
      <w:r w:rsidRPr="001837AC">
        <w:rPr>
          <w:rFonts w:ascii="Calibri" w:eastAsia="Calibri" w:hAnsi="Calibri" w:cs="Calibri"/>
          <w:sz w:val="20"/>
          <w:szCs w:val="22"/>
        </w:rPr>
        <w:t>.</w:t>
      </w:r>
    </w:p>
    <w:p w14:paraId="11E7CC3B"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7">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8">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79">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Appeal mechanisms for membership applications and membership credentials are outlined in Section </w:t>
      </w:r>
      <w:r w:rsidRPr="001837AC">
        <w:rPr>
          <w:rFonts w:ascii="Calibri" w:eastAsia="Calibri" w:hAnsi="Calibri" w:cs="Calibri"/>
          <w:sz w:val="20"/>
          <w:szCs w:val="22"/>
        </w:rPr>
        <w:lastRenderedPageBreak/>
        <w:t>5.6.2 of the new BC Charter, which gives empowers the Credentials Committee to conduct a review upon request.</w:t>
      </w:r>
    </w:p>
    <w:p w14:paraId="44376DA1"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r>
      <w:r w:rsidRPr="001837AC">
        <w:rPr>
          <w:rFonts w:ascii="Calibri" w:eastAsia="Calibri" w:hAnsi="Calibri" w:cs="Calibri"/>
          <w:sz w:val="20"/>
          <w:szCs w:val="22"/>
        </w:rPr>
        <w:lastRenderedPageBreak/>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0">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099CC2DB" w14:textId="461BEB5A" w:rsidR="00C77EFA" w:rsidRPr="00E21BC1"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3726CE2" w14:textId="77C7E5A0"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well-defined: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81"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72336FFF" w14:textId="74B3B4D1" w:rsidR="00B23A6C" w:rsidRPr="00884A3E" w:rsidRDefault="00B23A6C" w:rsidP="008A642E">
      <w:pPr>
        <w:pStyle w:val="Normal1"/>
        <w:numPr>
          <w:ilvl w:val="0"/>
          <w:numId w:val="52"/>
        </w:numPr>
        <w:spacing w:before="120"/>
        <w:rPr>
          <w:rFonts w:ascii="Calibri" w:eastAsia="Calibri" w:hAnsi="Calibri" w:cs="Calibri"/>
          <w:sz w:val="20"/>
          <w:szCs w:val="22"/>
        </w:rPr>
      </w:pPr>
      <w:r w:rsidRPr="00B23A6C">
        <w:rPr>
          <w:rFonts w:ascii="Calibri" w:eastAsia="Calibri" w:hAnsi="Calibri" w:cs="Calibri"/>
          <w:sz w:val="20"/>
          <w:szCs w:val="22"/>
        </w:rPr>
        <w:t xml:space="preserve">Overall </w:t>
      </w:r>
      <w:proofErr w:type="spellStart"/>
      <w:r w:rsidRPr="00B23A6C">
        <w:rPr>
          <w:rFonts w:ascii="Calibri" w:eastAsia="Calibri" w:hAnsi="Calibri" w:cs="Calibri"/>
          <w:sz w:val="20"/>
          <w:szCs w:val="22"/>
        </w:rPr>
        <w:t>RrSG</w:t>
      </w:r>
      <w:proofErr w:type="spellEnd"/>
      <w:r w:rsidRPr="00B23A6C">
        <w:rPr>
          <w:rFonts w:ascii="Calibri" w:eastAsia="Calibri" w:hAnsi="Calibri" w:cs="Calibri"/>
          <w:sz w:val="20"/>
          <w:szCs w:val="22"/>
        </w:rPr>
        <w:t xml:space="preserve"> membership is defined by Sec 2.1 in the charter, but eligibility to be a Voting Member (“Registered Representative”) is dependent upon affiliations (if any) with other members or with entities voting in other SGs.  Registered and Non-Registered Representatives are described in Sec 2.2  and 2.3.</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lastRenderedPageBreak/>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bdo>
    </w:p>
    <w:p w14:paraId="31FAC289" w14:textId="622D2E75"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8A642E">
      <w:pPr>
        <w:pStyle w:val="Normal1"/>
        <w:widowControl w:val="0"/>
        <w:numPr>
          <w:ilvl w:val="0"/>
          <w:numId w:val="49"/>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76E30B51"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w:t>
      </w:r>
      <w:r w:rsidR="0039276C">
        <w:rPr>
          <w:rFonts w:asciiTheme="majorHAnsi" w:hAnsiTheme="majorHAnsi"/>
          <w:b/>
          <w:sz w:val="22"/>
          <w:szCs w:val="22"/>
        </w:rPr>
        <w:t>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26A03B20"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7B29B768" w:rsidR="001837AC" w:rsidRPr="006063E5" w:rsidRDefault="00A217AE" w:rsidP="00143312">
      <w:pPr>
        <w:pStyle w:val="Normal1"/>
        <w:numPr>
          <w:ilvl w:val="0"/>
          <w:numId w:val="61"/>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 xml:space="preserve">or any meetings, be they closed to members only or open to anyone, the members have to be able to access </w:t>
      </w:r>
      <w:r w:rsidR="00143312">
        <w:rPr>
          <w:rFonts w:asciiTheme="majorHAnsi" w:eastAsia="Calibri" w:hAnsiTheme="majorHAnsi" w:cs="Calibri"/>
          <w:sz w:val="22"/>
          <w:szCs w:val="22"/>
        </w:rPr>
        <w:t xml:space="preserve">notes, </w:t>
      </w:r>
      <w:r w:rsidR="001837AC" w:rsidRPr="00A217AE">
        <w:rPr>
          <w:rFonts w:asciiTheme="majorHAnsi" w:eastAsia="Calibri" w:hAnsiTheme="majorHAnsi" w:cs="Calibri"/>
          <w:sz w:val="22"/>
          <w:szCs w:val="22"/>
        </w:rPr>
        <w:t>minutes</w:t>
      </w:r>
      <w:r w:rsidR="00143312">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lastRenderedPageBreak/>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070EF394" w:rsidR="001837AC" w:rsidRPr="001837AC" w:rsidRDefault="001837AC" w:rsidP="00143312">
      <w:pPr>
        <w:pStyle w:val="Normal1"/>
        <w:numPr>
          <w:ilvl w:val="0"/>
          <w:numId w:val="61"/>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w:t>
      </w:r>
      <w:r w:rsidR="0039276C">
        <w:rPr>
          <w:rFonts w:asciiTheme="majorHAnsi" w:eastAsia="Calibri" w:hAnsiTheme="majorHAnsi" w:cs="Calibri"/>
          <w:sz w:val="22"/>
          <w:szCs w:val="22"/>
        </w:rPr>
        <w:t>Group</w:t>
      </w:r>
      <w:r w:rsidR="00940254">
        <w:rPr>
          <w:rFonts w:asciiTheme="majorHAnsi" w:eastAsia="Calibri" w:hAnsiTheme="majorHAnsi" w:cs="Calibri"/>
          <w:sz w:val="22"/>
          <w:szCs w:val="22"/>
        </w:rPr>
        <w:t xml:space="preserve">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05FDDC2E" w:rsidR="00700632" w:rsidRDefault="005F4474" w:rsidP="00700632">
      <w:pPr>
        <w:pStyle w:val="Heading3"/>
      </w:pPr>
      <w:bookmarkStart w:id="20" w:name="_Toc349128816"/>
      <w:bookmarkStart w:id="21" w:name="_Toc361929840"/>
      <w:r>
        <w:t>Review and draft recommendations regarding SO/AC</w:t>
      </w:r>
      <w:r w:rsidR="00B9527C">
        <w:t>/</w:t>
      </w:r>
      <w:r w:rsidR="0039276C">
        <w:t>Group</w:t>
      </w:r>
      <w:r>
        <w:t xml:space="preserve"> </w:t>
      </w:r>
      <w:r w:rsidR="00700632">
        <w:t>Outreach</w:t>
      </w:r>
      <w:bookmarkEnd w:id="20"/>
      <w:bookmarkEnd w:id="21"/>
    </w:p>
    <w:p w14:paraId="3E182536" w14:textId="1F62E163"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B6DFC0E" w14:textId="1525E80A"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Your policies and efforts in outreach to individuals and organizations in your designated community who do not yet participate in your </w:t>
      </w:r>
      <w:r w:rsidR="000243A6">
        <w:rPr>
          <w:rFonts w:asciiTheme="majorHAnsi" w:hAnsiTheme="majorHAnsi"/>
          <w:sz w:val="22"/>
          <w:szCs w:val="22"/>
        </w:rPr>
        <w:t>SO/AC</w:t>
      </w:r>
      <w:r w:rsidRPr="00700632">
        <w:rPr>
          <w:rFonts w:asciiTheme="majorHAnsi" w:hAnsiTheme="majorHAnsi"/>
          <w:sz w:val="22"/>
          <w:szCs w:val="22"/>
        </w:rPr>
        <w:t>.</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Interaction with ICANN Fellows and </w:t>
      </w:r>
      <w:proofErr w:type="spellStart"/>
      <w:r w:rsidRPr="00700632">
        <w:rPr>
          <w:rFonts w:asciiTheme="majorHAnsi" w:eastAsia="Calibri" w:hAnsiTheme="majorHAnsi" w:cs="Calibri"/>
          <w:sz w:val="20"/>
          <w:szCs w:val="20"/>
        </w:rPr>
        <w:t>NextGen</w:t>
      </w:r>
      <w:proofErr w:type="spellEnd"/>
      <w:r w:rsidRPr="00700632">
        <w:rPr>
          <w:rFonts w:asciiTheme="majorHAnsi" w:eastAsia="Calibri" w:hAnsiTheme="majorHAnsi" w:cs="Calibri"/>
          <w:sz w:val="20"/>
          <w:szCs w:val="20"/>
        </w:rPr>
        <w:t>;</w:t>
      </w:r>
    </w:p>
    <w:p w14:paraId="7DB6639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is a constant focus. More recently, we are working to increase the number of individual members in the regions the allow them (NA, EU, AP) and results show we are successful.</w:t>
      </w:r>
    </w:p>
    <w:p w14:paraId="065D272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xml:space="preserve">. </w:t>
      </w:r>
    </w:p>
    <w:p w14:paraId="3EB32369"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w:t>
      </w:r>
      <w:proofErr w:type="spellStart"/>
      <w:r w:rsidRPr="00700632">
        <w:rPr>
          <w:rFonts w:asciiTheme="majorHAnsi" w:eastAsia="Calibri" w:hAnsiTheme="majorHAnsi" w:cs="Calibri"/>
          <w:sz w:val="20"/>
          <w:szCs w:val="20"/>
        </w:rPr>
        <w:t>Large,and</w:t>
      </w:r>
      <w:proofErr w:type="spellEnd"/>
      <w:r w:rsidRPr="00700632">
        <w:rPr>
          <w:rFonts w:asciiTheme="majorHAnsi" w:eastAsia="Calibri" w:hAnsiTheme="majorHAnsi" w:cs="Calibri"/>
          <w:sz w:val="20"/>
          <w:szCs w:val="20"/>
        </w:rPr>
        <w:t xml:space="preserve"> we are determined to increase our breadth of coverage within the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/the-</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-number-council</w:t>
      </w:r>
    </w:p>
    <w:p w14:paraId="713DBE9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lastRenderedPageBreak/>
        <w:t>ARIN: https://www.arin.net/participate/elections/nronumbercouncil.html</w:t>
      </w:r>
    </w:p>
    <w:p w14:paraId="29A09226"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2">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 xml:space="preserve"> [RACI program for the academics]</w:t>
      </w:r>
    </w:p>
    <w:p w14:paraId="58F95CC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8A642E">
      <w:pPr>
        <w:pStyle w:val="Normal1"/>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8A642E">
      <w:pPr>
        <w:pStyle w:val="Normal1"/>
        <w:numPr>
          <w:ilvl w:val="0"/>
          <w:numId w:val="10"/>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3"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w:t>
      </w:r>
      <w:r w:rsidRPr="00700632">
        <w:rPr>
          <w:rFonts w:asciiTheme="majorHAnsi" w:eastAsia="Calibri" w:hAnsiTheme="majorHAnsi" w:cs="Calibri"/>
          <w:sz w:val="20"/>
          <w:szCs w:val="20"/>
        </w:rPr>
        <w:lastRenderedPageBreak/>
        <w:t xml:space="preserve">(such as </w:t>
      </w:r>
      <w:proofErr w:type="spellStart"/>
      <w:r w:rsidRPr="00700632">
        <w:rPr>
          <w:rFonts w:asciiTheme="majorHAnsi" w:eastAsia="Calibri" w:hAnsiTheme="majorHAnsi" w:cs="Calibri"/>
          <w:sz w:val="20"/>
          <w:szCs w:val="20"/>
        </w:rPr>
        <w:t>AfICTA</w:t>
      </w:r>
      <w:proofErr w:type="spellEnd"/>
      <w:r w:rsidRPr="00700632">
        <w:rPr>
          <w:rFonts w:asciiTheme="majorHAnsi" w:eastAsia="Calibri" w:hAnsiTheme="majorHAnsi" w:cs="Calibri"/>
          <w:sz w:val="20"/>
          <w:szCs w:val="20"/>
        </w:rPr>
        <w:t xml:space="preserve"> Summits, trade events, and IGF forums).</w:t>
      </w:r>
    </w:p>
    <w:p w14:paraId="5F50BDB3" w14:textId="207E2D35"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4"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5"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6"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7"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8"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89"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0"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lastRenderedPageBreak/>
        <w:t>Exhibitions and booths in various events outside ICANN meetings, such as IGF</w:t>
      </w:r>
    </w:p>
    <w:p w14:paraId="36CC4F8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Participation in Internet governance related civil society email lists and events, such as WSIS, the Internet governance caucus list, </w:t>
      </w:r>
      <w:proofErr w:type="spellStart"/>
      <w:r w:rsidRPr="00700632">
        <w:rPr>
          <w:rFonts w:asciiTheme="majorHAnsi" w:eastAsia="Calibri" w:hAnsiTheme="majorHAnsi" w:cs="Calibri"/>
          <w:sz w:val="20"/>
          <w:szCs w:val="20"/>
        </w:rPr>
        <w:t>Bestbits</w:t>
      </w:r>
      <w:proofErr w:type="spellEnd"/>
      <w:r w:rsidRPr="00700632">
        <w:rPr>
          <w:rFonts w:asciiTheme="majorHAnsi" w:eastAsia="Calibri" w:hAnsiTheme="majorHAnsi" w:cs="Calibri"/>
          <w:sz w:val="20"/>
          <w:szCs w:val="20"/>
        </w:rPr>
        <w:t xml:space="preserve">, global and regional IGFs and civil society organized events such as </w:t>
      </w:r>
      <w:proofErr w:type="spellStart"/>
      <w:r w:rsidRPr="00700632">
        <w:rPr>
          <w:rFonts w:asciiTheme="majorHAnsi" w:eastAsia="Calibri" w:hAnsiTheme="majorHAnsi" w:cs="Calibri"/>
          <w:sz w:val="20"/>
          <w:szCs w:val="20"/>
        </w:rPr>
        <w:t>Rightscon</w:t>
      </w:r>
      <w:proofErr w:type="spellEnd"/>
      <w:r w:rsidRPr="00700632">
        <w:rPr>
          <w:rFonts w:asciiTheme="majorHAnsi" w:eastAsia="Calibri" w:hAnsiTheme="majorHAnsi" w:cs="Calibri"/>
          <w:sz w:val="20"/>
          <w:szCs w:val="20"/>
        </w:rPr>
        <w:t xml:space="preserve">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8A642E">
      <w:pPr>
        <w:pStyle w:val="Normal1"/>
        <w:numPr>
          <w:ilvl w:val="0"/>
          <w:numId w:val="52"/>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E8E3C9A" w14:textId="323E485B" w:rsidR="00884A3E" w:rsidRPr="00884A3E" w:rsidRDefault="009D1671" w:rsidP="008A642E">
      <w:pPr>
        <w:pStyle w:val="Normal1"/>
        <w:numPr>
          <w:ilvl w:val="0"/>
          <w:numId w:val="52"/>
        </w:numPr>
        <w:spacing w:before="120"/>
        <w:rPr>
          <w:rFonts w:ascii="Calibri" w:eastAsia="Calibri" w:hAnsi="Calibri" w:cs="Calibri"/>
          <w:sz w:val="20"/>
          <w:szCs w:val="22"/>
        </w:rPr>
      </w:pPr>
      <w:r w:rsidRPr="009D1671">
        <w:rPr>
          <w:rFonts w:ascii="Calibri" w:eastAsia="Calibri" w:hAnsi="Calibri" w:cs="Calibri"/>
          <w:sz w:val="20"/>
          <w:szCs w:val="22"/>
        </w:rPr>
        <w:t>We are provided a list of newly-accredited registrars by ICANN GDD Staff, and may reach out to them to inquire about membership.  Alternatively, we leverage business networks via other organizations &amp; associations, such as ccTLD policy structures, or groups focused on related business activities, like hosting or domain aftermarkets.</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bdo>
    </w:p>
    <w:p w14:paraId="74A78830" w14:textId="0C14EEA8"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 xml:space="preserve">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w:t>
      </w:r>
      <w:r w:rsidRPr="00B3483B">
        <w:rPr>
          <w:rFonts w:ascii="Calibri" w:eastAsia="Calibri" w:hAnsi="Calibri" w:cs="Calibri"/>
          <w:sz w:val="20"/>
          <w:szCs w:val="22"/>
        </w:rPr>
        <w:lastRenderedPageBreak/>
        <w:t>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8A642E">
      <w:pPr>
        <w:pStyle w:val="Normal1"/>
        <w:numPr>
          <w:ilvl w:val="0"/>
          <w:numId w:val="13"/>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 xml:space="preserve"> such as the Internet Engineering Task Force (IETF), the Anti-Phishing Working Group (APWG), etc. and share relevant SSAC work in those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3268E1A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38F95CCD"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6BCC638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maintain a publicly- accessible website/wiki pages to advertise their outreach events and opportunities </w:t>
      </w:r>
    </w:p>
    <w:p w14:paraId="3B6D7490" w14:textId="4E835E4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374CBB6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144F0CEF" w14:textId="41833F7B"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r w:rsidR="007B6363">
        <w:rPr>
          <w:rFonts w:ascii="Calibri" w:eastAsia="Calibri" w:hAnsi="Calibri" w:cs="Calibri"/>
          <w:sz w:val="22"/>
          <w:szCs w:val="22"/>
        </w:rPr>
        <w:t>,</w:t>
      </w:r>
      <w:r w:rsidR="007B6363" w:rsidRPr="007B6363">
        <w:rPr>
          <w:rFonts w:ascii="Calibri" w:eastAsia="Calibri" w:hAnsi="Calibri" w:cs="Calibri"/>
          <w:sz w:val="22"/>
          <w:szCs w:val="22"/>
        </w:rPr>
        <w:t xml:space="preserve"> while also seeking diversity within membership ranks</w:t>
      </w:r>
      <w:r>
        <w:rPr>
          <w:rFonts w:ascii="Calibri" w:eastAsia="Calibri" w:hAnsi="Calibri" w:cs="Calibri"/>
          <w:sz w:val="22"/>
          <w:szCs w:val="22"/>
        </w:rPr>
        <w:t>.</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2D4CBB1E" w:rsidR="00957D42" w:rsidRDefault="00957D42" w:rsidP="00957D42">
      <w:pPr>
        <w:pStyle w:val="Heading3"/>
      </w:pPr>
      <w:bookmarkStart w:id="22" w:name="_Toc349128817"/>
      <w:bookmarkStart w:id="23" w:name="_Toc361929841"/>
      <w:r>
        <w:t xml:space="preserve">Review and draft recommendations regarding </w:t>
      </w:r>
      <w:r w:rsidR="005C53A3">
        <w:t>U</w:t>
      </w:r>
      <w:r w:rsidR="002A077C">
        <w:t xml:space="preserve">pdates to </w:t>
      </w:r>
      <w:r>
        <w:t>SO/AC</w:t>
      </w:r>
      <w:r w:rsidR="005C53A3">
        <w:t>/</w:t>
      </w:r>
      <w:r w:rsidR="0039276C">
        <w:t>Group</w:t>
      </w:r>
      <w:r>
        <w:t xml:space="preserve"> </w:t>
      </w:r>
      <w:r w:rsidR="002A077C">
        <w:t>Policies and Procedures</w:t>
      </w:r>
      <w:bookmarkEnd w:id="22"/>
      <w:bookmarkEnd w:id="23"/>
    </w:p>
    <w:p w14:paraId="424BEF46" w14:textId="3BFCDB90" w:rsidR="00957D42" w:rsidRDefault="005C53A3" w:rsidP="00957D42">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sidR="00957D42">
        <w:rPr>
          <w:rFonts w:ascii="Calibri" w:eastAsia="Calibri" w:hAnsi="Calibri" w:cs="Calibri"/>
          <w:sz w:val="22"/>
          <w:szCs w:val="22"/>
        </w:rPr>
        <w:t xml:space="preserve">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 xml:space="preserve">The Memorandums of Understanding creating the RALOs all date back to 2006-7. The original ALAC Rules of Procedure and RALO governance documents also date to that same era, as do the regulations governing how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are certified and decertified. The ALAC Rules of Procedure (</w:t>
      </w:r>
      <w:proofErr w:type="spellStart"/>
      <w:r w:rsidRPr="002A077C">
        <w:rPr>
          <w:rFonts w:ascii="Calibri" w:eastAsia="Calibri" w:hAnsi="Calibri" w:cs="Calibri"/>
          <w:sz w:val="20"/>
          <w:szCs w:val="22"/>
        </w:rPr>
        <w:t>RoP</w:t>
      </w:r>
      <w:proofErr w:type="spellEnd"/>
      <w:r w:rsidRPr="002A077C">
        <w:rPr>
          <w:rFonts w:ascii="Calibri" w:eastAsia="Calibri" w:hAnsi="Calibri" w:cs="Calibri"/>
          <w:sz w:val="20"/>
          <w:szCs w:val="22"/>
        </w:rPr>
        <w:t>)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lastRenderedPageBreak/>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8A642E">
      <w:pPr>
        <w:pStyle w:val="Normal1"/>
        <w:numPr>
          <w:ilvl w:val="0"/>
          <w:numId w:val="19"/>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1"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2">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3"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4"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5"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lastRenderedPageBreak/>
        <w:t>GNSO</w:t>
      </w:r>
    </w:p>
    <w:p w14:paraId="3FCAA47B" w14:textId="69A0A3D0"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6"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8A642E">
      <w:pPr>
        <w:pStyle w:val="Normal1"/>
        <w:numPr>
          <w:ilvl w:val="0"/>
          <w:numId w:val="52"/>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68BE94BA" w14:textId="77777777" w:rsidR="00CA4F25" w:rsidRDefault="00CA4F25"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M</w:t>
      </w:r>
      <w:r w:rsidRPr="00CA4F25">
        <w:rPr>
          <w:rFonts w:ascii="Calibri" w:eastAsia="Calibri" w:hAnsi="Calibri" w:cs="Calibri"/>
          <w:sz w:val="20"/>
          <w:szCs w:val="22"/>
        </w:rPr>
        <w:t xml:space="preserve">ost recently updated in 2014 to reflect changes that would clarify some ambiguities around membership eligibility and elected offices.  </w:t>
      </w:r>
      <w:r>
        <w:rPr>
          <w:rFonts w:ascii="Calibri" w:eastAsia="Calibri" w:hAnsi="Calibri" w:cs="Calibri"/>
          <w:sz w:val="20"/>
          <w:szCs w:val="22"/>
        </w:rPr>
        <w:t>T</w:t>
      </w:r>
      <w:r w:rsidRPr="00CA4F25">
        <w:rPr>
          <w:rFonts w:ascii="Calibri" w:eastAsia="Calibri" w:hAnsi="Calibri" w:cs="Calibri"/>
          <w:sz w:val="20"/>
          <w:szCs w:val="22"/>
        </w:rPr>
        <w:t xml:space="preserve">he charter amendments were developed by an </w:t>
      </w:r>
      <w:proofErr w:type="spellStart"/>
      <w:r w:rsidRPr="00CA4F25">
        <w:rPr>
          <w:rFonts w:ascii="Calibri" w:eastAsia="Calibri" w:hAnsi="Calibri" w:cs="Calibri"/>
          <w:sz w:val="20"/>
          <w:szCs w:val="22"/>
        </w:rPr>
        <w:t>Rr</w:t>
      </w:r>
      <w:r>
        <w:rPr>
          <w:rFonts w:ascii="Calibri" w:eastAsia="Calibri" w:hAnsi="Calibri" w:cs="Calibri"/>
          <w:sz w:val="20"/>
          <w:szCs w:val="22"/>
        </w:rPr>
        <w:t>S</w:t>
      </w:r>
      <w:r w:rsidRPr="00CA4F25">
        <w:rPr>
          <w:rFonts w:ascii="Calibri" w:eastAsia="Calibri" w:hAnsi="Calibri" w:cs="Calibri"/>
          <w:sz w:val="20"/>
          <w:szCs w:val="22"/>
        </w:rPr>
        <w:t>G</w:t>
      </w:r>
      <w:proofErr w:type="spellEnd"/>
      <w:r w:rsidRPr="00CA4F25">
        <w:rPr>
          <w:rFonts w:ascii="Calibri" w:eastAsia="Calibri" w:hAnsi="Calibri" w:cs="Calibri"/>
          <w:sz w:val="20"/>
          <w:szCs w:val="22"/>
        </w:rPr>
        <w:t xml:space="preserve"> working group working with ICANN Staff, and were approved by members and the ICANN board.  They may also have </w:t>
      </w:r>
      <w:r>
        <w:rPr>
          <w:rFonts w:ascii="Calibri" w:eastAsia="Calibri" w:hAnsi="Calibri" w:cs="Calibri"/>
          <w:sz w:val="20"/>
          <w:szCs w:val="22"/>
        </w:rPr>
        <w:t>been put out for Public Comment</w:t>
      </w:r>
      <w:r w:rsidRPr="00CA4F25">
        <w:rPr>
          <w:rFonts w:ascii="Calibri" w:eastAsia="Calibri" w:hAnsi="Calibri" w:cs="Calibri"/>
          <w:sz w:val="20"/>
          <w:szCs w:val="22"/>
        </w:rPr>
        <w:t xml:space="preserve">.  </w:t>
      </w:r>
    </w:p>
    <w:p w14:paraId="3D0A5FB2" w14:textId="725C8BF1" w:rsidR="00884A3E" w:rsidRPr="00884A3E" w:rsidRDefault="00CA4F25" w:rsidP="008A642E">
      <w:pPr>
        <w:pStyle w:val="Normal1"/>
        <w:numPr>
          <w:ilvl w:val="0"/>
          <w:numId w:val="52"/>
        </w:numPr>
        <w:spacing w:before="120"/>
        <w:rPr>
          <w:rFonts w:ascii="Calibri" w:eastAsia="Calibri" w:hAnsi="Calibri" w:cs="Calibri"/>
          <w:sz w:val="20"/>
          <w:szCs w:val="22"/>
        </w:rPr>
      </w:pPr>
      <w:r w:rsidRPr="00CA4F25">
        <w:rPr>
          <w:rFonts w:ascii="Calibri" w:eastAsia="Calibri" w:hAnsi="Calibri" w:cs="Calibri"/>
          <w:sz w:val="20"/>
          <w:szCs w:val="22"/>
        </w:rPr>
        <w:t xml:space="preserve">The </w:t>
      </w:r>
      <w:proofErr w:type="spellStart"/>
      <w:r w:rsidRPr="00CA4F25">
        <w:rPr>
          <w:rFonts w:ascii="Calibri" w:eastAsia="Calibri" w:hAnsi="Calibri" w:cs="Calibri"/>
          <w:sz w:val="20"/>
          <w:szCs w:val="22"/>
        </w:rPr>
        <w:t>RrSG</w:t>
      </w:r>
      <w:proofErr w:type="spellEnd"/>
      <w:r w:rsidRPr="00CA4F25">
        <w:rPr>
          <w:rFonts w:ascii="Calibri" w:eastAsia="Calibri" w:hAnsi="Calibri" w:cs="Calibri"/>
          <w:sz w:val="20"/>
          <w:szCs w:val="22"/>
        </w:rPr>
        <w:t xml:space="preserve"> charter is also currently undergoing another review, with completion and ratification hopefully completed by June 2017.  Primary changes are to ensure smoother operation of the SG procedures, as well as to clarify the eligibility to hold office.</w:t>
      </w:r>
      <w:r w:rsidR="00884A3E">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w:t>
      </w:r>
      <w:proofErr w:type="spellStart"/>
      <w:r w:rsidRPr="007337BF">
        <w:rPr>
          <w:rFonts w:ascii="Calibri" w:eastAsia="Calibri" w:hAnsi="Calibri" w:cs="Calibri"/>
          <w:sz w:val="20"/>
          <w:szCs w:val="22"/>
        </w:rPr>
        <w:t>GeoTLD</w:t>
      </w:r>
      <w:proofErr w:type="spellEnd"/>
      <w:r w:rsidRPr="007337BF">
        <w:rPr>
          <w:rFonts w:ascii="Calibri" w:eastAsia="Calibri" w:hAnsi="Calibri" w:cs="Calibri"/>
          <w:sz w:val="20"/>
          <w:szCs w:val="22"/>
        </w:rPr>
        <w:t xml:space="preserve">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lastRenderedPageBreak/>
        <w:t>RSSAC (Root Server System Advisory Committee):</w:t>
      </w:r>
    </w:p>
    <w:p w14:paraId="7999FBD4" w14:textId="77777777" w:rsid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p>
    <w:p w14:paraId="4187AF20" w14:textId="30818203" w:rsidR="00625DD5" w:rsidRP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8A642E">
      <w:pPr>
        <w:pStyle w:val="Normal1"/>
        <w:numPr>
          <w:ilvl w:val="0"/>
          <w:numId w:val="23"/>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3D8D24F2"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w:t>
      </w:r>
      <w:r w:rsidR="0039276C">
        <w:rPr>
          <w:rFonts w:ascii="Calibri" w:eastAsia="Calibri" w:hAnsi="Calibri" w:cs="Calibri"/>
          <w:b/>
          <w:sz w:val="22"/>
          <w:szCs w:val="22"/>
        </w:rPr>
        <w:t>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CBA264E"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r w:rsidR="00083680">
        <w:rPr>
          <w:rFonts w:ascii="Calibri" w:eastAsia="Calibri" w:hAnsi="Calibri" w:cs="Calibri"/>
          <w:sz w:val="22"/>
          <w:szCs w:val="22"/>
        </w:rPr>
        <w:t>[good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0DF5BF5C" w:rsidR="002A077C" w:rsidRDefault="009E7B95"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46E74F55" w:rsidR="003969CB" w:rsidRDefault="003969CB"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036DE5E1" w14:textId="6EA9BD46" w:rsidR="007842F2" w:rsidRDefault="009F0630"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61929842"/>
      <w:r w:rsidRPr="00E17D88">
        <w:lastRenderedPageBreak/>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253DCFB5"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 xml:space="preserve">a roundtable of the Board, CEO and all supporting </w:t>
      </w:r>
      <w:r w:rsidR="000243A6">
        <w:rPr>
          <w:rFonts w:asciiTheme="majorHAnsi" w:hAnsiTheme="majorHAnsi"/>
          <w:i/>
          <w:sz w:val="20"/>
          <w:szCs w:val="22"/>
        </w:rPr>
        <w:t>SO/AC</w:t>
      </w:r>
      <w:r w:rsidRPr="00AF3BE1">
        <w:rPr>
          <w:rFonts w:asciiTheme="majorHAnsi" w:hAnsiTheme="majorHAnsi"/>
          <w:i/>
          <w:sz w:val="20"/>
          <w:szCs w:val="22"/>
        </w:rPr>
        <w:t xml:space="preserve">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8"/>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w:t>
      </w:r>
      <w:proofErr w:type="spellStart"/>
      <w:r w:rsidRPr="00F76D98">
        <w:rPr>
          <w:rFonts w:asciiTheme="majorHAnsi" w:hAnsiTheme="majorHAnsi"/>
          <w:sz w:val="20"/>
          <w:szCs w:val="22"/>
        </w:rPr>
        <w:t>centre</w:t>
      </w:r>
      <w:proofErr w:type="spellEnd"/>
      <w:r w:rsidRPr="00F76D98">
        <w:rPr>
          <w:rFonts w:asciiTheme="majorHAnsi" w:hAnsiTheme="majorHAnsi"/>
          <w:sz w:val="20"/>
          <w:szCs w:val="22"/>
        </w:rPr>
        <w:t xml:space="preserv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00B05468" w14:textId="42425F0A" w:rsidR="00A5716C" w:rsidRDefault="00A5716C" w:rsidP="00A5716C">
      <w:pPr>
        <w:spacing w:before="120"/>
        <w:rPr>
          <w:rFonts w:asciiTheme="majorHAnsi" w:hAnsiTheme="majorHAnsi"/>
          <w:sz w:val="22"/>
          <w:szCs w:val="22"/>
        </w:rPr>
      </w:pPr>
      <w:r>
        <w:rPr>
          <w:rFonts w:asciiTheme="majorHAnsi" w:hAnsiTheme="majorHAnsi"/>
          <w:sz w:val="22"/>
          <w:szCs w:val="22"/>
        </w:rPr>
        <w:t>T</w:t>
      </w:r>
      <w:r w:rsidR="00415BCC">
        <w:rPr>
          <w:rFonts w:asciiTheme="majorHAnsi" w:hAnsiTheme="majorHAnsi"/>
          <w:sz w:val="22"/>
          <w:szCs w:val="22"/>
        </w:rPr>
        <w:t>he Mutual Accountability Roundtable as originally described is more of a transparency exercise where</w:t>
      </w:r>
      <w:r w:rsidR="00254E19">
        <w:rPr>
          <w:rFonts w:asciiTheme="majorHAnsi" w:hAnsiTheme="majorHAnsi"/>
          <w:sz w:val="22"/>
          <w:szCs w:val="22"/>
        </w:rPr>
        <w:t xml:space="preserve"> experiences and</w:t>
      </w:r>
      <w:r w:rsidR="00415BCC">
        <w:rPr>
          <w:rFonts w:asciiTheme="majorHAnsi" w:hAnsiTheme="majorHAnsi"/>
          <w:sz w:val="22"/>
          <w:szCs w:val="22"/>
        </w:rPr>
        <w:t xml:space="preserve"> </w:t>
      </w:r>
      <w:r w:rsidR="00083680">
        <w:rPr>
          <w:rFonts w:asciiTheme="majorHAnsi" w:hAnsiTheme="majorHAnsi"/>
          <w:sz w:val="22"/>
          <w:szCs w:val="22"/>
        </w:rPr>
        <w:t>[good practices]</w:t>
      </w:r>
      <w:r w:rsidR="00415BCC">
        <w:rPr>
          <w:rFonts w:asciiTheme="majorHAnsi" w:hAnsiTheme="majorHAnsi"/>
          <w:sz w:val="22"/>
          <w:szCs w:val="22"/>
        </w:rPr>
        <w:t xml:space="preserve"> may be shared.  </w:t>
      </w:r>
      <w:r>
        <w:rPr>
          <w:rFonts w:asciiTheme="majorHAnsi" w:hAnsiTheme="majorHAnsi"/>
          <w:sz w:val="22"/>
          <w:szCs w:val="22"/>
        </w:rPr>
        <w:t xml:space="preserve">We note that </w:t>
      </w:r>
      <w:r w:rsidRPr="00DA44EF">
        <w:rPr>
          <w:rFonts w:asciiTheme="majorHAnsi" w:hAnsiTheme="majorHAnsi"/>
          <w:sz w:val="22"/>
          <w:szCs w:val="22"/>
        </w:rPr>
        <w:t>SO and AC chairs have a standing email list and may convene calls and meetings at any time. That creates an appropriate forum for sharing of ex</w:t>
      </w:r>
      <w:r>
        <w:rPr>
          <w:rFonts w:asciiTheme="majorHAnsi" w:hAnsiTheme="majorHAnsi"/>
          <w:sz w:val="22"/>
          <w:szCs w:val="22"/>
        </w:rPr>
        <w:t>periences and [good practices]</w:t>
      </w:r>
      <w:r w:rsidRPr="00DA44EF">
        <w:rPr>
          <w:rFonts w:asciiTheme="majorHAnsi" w:hAnsiTheme="majorHAnsi"/>
          <w:sz w:val="22"/>
          <w:szCs w:val="22"/>
        </w:rPr>
        <w:t xml:space="preserve">. </w:t>
      </w:r>
    </w:p>
    <w:p w14:paraId="40340130" w14:textId="0744D745" w:rsidR="00415BCC" w:rsidRDefault="00A5716C" w:rsidP="00E17D88">
      <w:pPr>
        <w:spacing w:before="120"/>
        <w:rPr>
          <w:rFonts w:asciiTheme="majorHAnsi" w:hAnsiTheme="majorHAnsi"/>
          <w:sz w:val="22"/>
          <w:szCs w:val="22"/>
        </w:rPr>
      </w:pPr>
      <w:r>
        <w:rPr>
          <w:rFonts w:asciiTheme="majorHAnsi" w:hAnsiTheme="majorHAnsi"/>
          <w:sz w:val="22"/>
          <w:szCs w:val="22"/>
        </w:rPr>
        <w:t>Noting that a small minority of CCWG participants prefer</w:t>
      </w:r>
      <w:r w:rsidR="00574C3A">
        <w:rPr>
          <w:rFonts w:asciiTheme="majorHAnsi" w:hAnsiTheme="majorHAnsi"/>
          <w:sz w:val="22"/>
          <w:szCs w:val="22"/>
        </w:rPr>
        <w:t>s</w:t>
      </w:r>
      <w:r>
        <w:rPr>
          <w:rFonts w:asciiTheme="majorHAnsi" w:hAnsiTheme="majorHAnsi"/>
          <w:sz w:val="22"/>
          <w:szCs w:val="22"/>
        </w:rPr>
        <w:t xml:space="preserve"> </w:t>
      </w:r>
      <w:r w:rsidR="005D70E9">
        <w:rPr>
          <w:rFonts w:asciiTheme="majorHAnsi" w:hAnsiTheme="majorHAnsi"/>
          <w:sz w:val="22"/>
          <w:szCs w:val="22"/>
        </w:rPr>
        <w:t>a</w:t>
      </w:r>
      <w:r>
        <w:rPr>
          <w:rFonts w:asciiTheme="majorHAnsi" w:hAnsiTheme="majorHAnsi"/>
          <w:sz w:val="22"/>
          <w:szCs w:val="22"/>
        </w:rPr>
        <w:t xml:space="preserve"> </w:t>
      </w:r>
      <w:r w:rsidR="005D70E9">
        <w:rPr>
          <w:rFonts w:asciiTheme="majorHAnsi" w:hAnsiTheme="majorHAnsi"/>
          <w:sz w:val="22"/>
          <w:szCs w:val="22"/>
        </w:rPr>
        <w:t>formal public discussion</w:t>
      </w:r>
      <w:r>
        <w:rPr>
          <w:rFonts w:asciiTheme="majorHAnsi" w:hAnsiTheme="majorHAnsi"/>
          <w:sz w:val="22"/>
          <w:szCs w:val="22"/>
        </w:rPr>
        <w:t xml:space="preserve">, the CCWG consensus view is </w:t>
      </w:r>
      <w:r w:rsidR="00415BCC">
        <w:rPr>
          <w:rFonts w:asciiTheme="majorHAnsi" w:hAnsiTheme="majorHAnsi"/>
          <w:sz w:val="22"/>
          <w:szCs w:val="22"/>
        </w:rPr>
        <w:t xml:space="preserve">not </w:t>
      </w:r>
      <w:r>
        <w:rPr>
          <w:rFonts w:asciiTheme="majorHAnsi" w:hAnsiTheme="majorHAnsi"/>
          <w:sz w:val="22"/>
          <w:szCs w:val="22"/>
        </w:rPr>
        <w:t xml:space="preserve">to </w:t>
      </w:r>
      <w:r w:rsidR="00415BCC">
        <w:rPr>
          <w:rFonts w:asciiTheme="majorHAnsi" w:hAnsiTheme="majorHAnsi"/>
          <w:sz w:val="22"/>
          <w:szCs w:val="22"/>
        </w:rPr>
        <w:t>recommend</w:t>
      </w:r>
      <w:r w:rsidR="00484C22">
        <w:rPr>
          <w:rFonts w:asciiTheme="majorHAnsi" w:hAnsiTheme="majorHAnsi"/>
          <w:sz w:val="22"/>
          <w:szCs w:val="22"/>
        </w:rPr>
        <w:t xml:space="preserve"> </w:t>
      </w:r>
      <w:r w:rsidR="005D70E9">
        <w:rPr>
          <w:rFonts w:asciiTheme="majorHAnsi" w:hAnsiTheme="majorHAnsi"/>
          <w:sz w:val="22"/>
          <w:szCs w:val="22"/>
        </w:rPr>
        <w:t>the</w:t>
      </w:r>
      <w:r>
        <w:rPr>
          <w:rFonts w:asciiTheme="majorHAnsi" w:hAnsiTheme="majorHAnsi"/>
          <w:sz w:val="22"/>
          <w:szCs w:val="22"/>
        </w:rPr>
        <w:t xml:space="preserve"> Mutual Accountability Roundtable</w:t>
      </w:r>
      <w:r w:rsidR="00484C22">
        <w:rPr>
          <w:rFonts w:asciiTheme="majorHAnsi" w:hAnsiTheme="majorHAnsi"/>
          <w:sz w:val="22"/>
          <w:szCs w:val="22"/>
        </w:rPr>
        <w:t xml:space="preserve"> for formal implementation. </w:t>
      </w:r>
    </w:p>
    <w:p w14:paraId="1164351B" w14:textId="09AF456A" w:rsidR="00484C22" w:rsidRPr="00484C22" w:rsidRDefault="00484C22" w:rsidP="00A5716C">
      <w:pPr>
        <w:spacing w:before="120"/>
        <w:rPr>
          <w:rFonts w:asciiTheme="majorHAnsi" w:hAnsiTheme="majorHAnsi"/>
          <w:sz w:val="22"/>
          <w:szCs w:val="22"/>
        </w:rPr>
      </w:pPr>
    </w:p>
    <w:p w14:paraId="308DF746" w14:textId="4E1A4BEA" w:rsidR="00E17D88" w:rsidRPr="00E17D88" w:rsidRDefault="00E17D88" w:rsidP="00C840F4">
      <w:pPr>
        <w:pStyle w:val="Heading2"/>
      </w:pPr>
      <w:bookmarkStart w:id="27" w:name="_Toc349068887"/>
      <w:bookmarkStart w:id="28" w:name="_Toc349128819"/>
      <w:bookmarkStart w:id="29" w:name="_Toc361929843"/>
      <w:r w:rsidRPr="00E17D88">
        <w:lastRenderedPageBreak/>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1D1C9EDB"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3. The IRP should not be made to apply to SO &amp; AC activities, because it is complex and expensive</w:t>
      </w:r>
      <w:r w:rsidR="007F60F4">
        <w:rPr>
          <w:rFonts w:asciiTheme="majorHAnsi" w:hAnsiTheme="majorHAnsi"/>
          <w:sz w:val="22"/>
          <w:szCs w:val="22"/>
        </w:rPr>
        <w:t xml:space="preserve">.  </w:t>
      </w:r>
      <w:r w:rsidR="007F60F4" w:rsidRPr="00BC2614">
        <w:rPr>
          <w:rFonts w:asciiTheme="majorHAnsi" w:hAnsiTheme="majorHAnsi"/>
          <w:sz w:val="22"/>
          <w:szCs w:val="22"/>
        </w:rPr>
        <w:t>IRPs do not render monetary judgment</w:t>
      </w:r>
      <w:r w:rsidR="007F60F4">
        <w:rPr>
          <w:rFonts w:asciiTheme="majorHAnsi" w:hAnsiTheme="majorHAnsi"/>
          <w:sz w:val="22"/>
          <w:szCs w:val="22"/>
        </w:rPr>
        <w:t xml:space="preserve">, but </w:t>
      </w:r>
      <w:r w:rsidR="007F60F4" w:rsidRPr="00BC2614">
        <w:rPr>
          <w:rFonts w:asciiTheme="majorHAnsi" w:hAnsiTheme="majorHAnsi"/>
          <w:sz w:val="22"/>
          <w:szCs w:val="22"/>
        </w:rPr>
        <w:t xml:space="preserve">when </w:t>
      </w:r>
      <w:r w:rsidR="007F60F4">
        <w:rPr>
          <w:rFonts w:asciiTheme="majorHAnsi" w:hAnsiTheme="majorHAnsi"/>
          <w:sz w:val="22"/>
          <w:szCs w:val="22"/>
        </w:rPr>
        <w:t>a</w:t>
      </w:r>
      <w:r w:rsidR="007F60F4" w:rsidRPr="00BC2614">
        <w:rPr>
          <w:rFonts w:asciiTheme="majorHAnsi" w:hAnsiTheme="majorHAnsi"/>
          <w:sz w:val="22"/>
          <w:szCs w:val="22"/>
        </w:rPr>
        <w:t xml:space="preserve"> panel a</w:t>
      </w:r>
      <w:r w:rsidR="007F60F4">
        <w:rPr>
          <w:rFonts w:asciiTheme="majorHAnsi" w:hAnsiTheme="majorHAnsi"/>
          <w:sz w:val="22"/>
          <w:szCs w:val="22"/>
        </w:rPr>
        <w:t>wards costs</w:t>
      </w:r>
      <w:r w:rsidR="007F60F4" w:rsidRPr="00BC2614">
        <w:rPr>
          <w:rFonts w:asciiTheme="majorHAnsi" w:hAnsiTheme="majorHAnsi"/>
          <w:sz w:val="22"/>
          <w:szCs w:val="22"/>
        </w:rPr>
        <w:t xml:space="preserve"> </w:t>
      </w:r>
      <w:r w:rsidR="007F60F4">
        <w:rPr>
          <w:rFonts w:asciiTheme="majorHAnsi" w:hAnsiTheme="majorHAnsi"/>
          <w:sz w:val="22"/>
          <w:szCs w:val="22"/>
        </w:rPr>
        <w:t>an</w:t>
      </w:r>
      <w:r w:rsidR="007F60F4" w:rsidRPr="00BC2614">
        <w:rPr>
          <w:rFonts w:asciiTheme="majorHAnsi" w:hAnsiTheme="majorHAnsi"/>
          <w:sz w:val="22"/>
          <w:szCs w:val="22"/>
        </w:rPr>
        <w:t xml:space="preserve"> SO/AC might not have a budget to cover such costs. </w:t>
      </w:r>
    </w:p>
    <w:p w14:paraId="190EABB2" w14:textId="77777777" w:rsidR="005D70E9"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w:t>
      </w:r>
      <w:r w:rsidR="0039276C">
        <w:rPr>
          <w:rFonts w:asciiTheme="majorHAnsi" w:hAnsiTheme="majorHAnsi"/>
          <w:sz w:val="22"/>
          <w:szCs w:val="22"/>
        </w:rPr>
        <w:t>Group</w:t>
      </w:r>
      <w:r w:rsidR="00E3003A">
        <w:rPr>
          <w:rFonts w:asciiTheme="majorHAnsi" w:hAnsiTheme="majorHAnsi"/>
          <w:sz w:val="22"/>
          <w:szCs w:val="22"/>
        </w:rPr>
        <w:t>s</w:t>
      </w:r>
      <w:r w:rsidRPr="00BC2614">
        <w:rPr>
          <w:rFonts w:asciiTheme="majorHAnsi" w:hAnsiTheme="majorHAnsi"/>
          <w:sz w:val="22"/>
          <w:szCs w:val="22"/>
        </w:rPr>
        <w:t xml:space="preserve">. </w:t>
      </w:r>
      <w:r w:rsidR="007F60F4">
        <w:rPr>
          <w:rFonts w:asciiTheme="majorHAnsi" w:hAnsiTheme="majorHAnsi"/>
          <w:sz w:val="22"/>
          <w:szCs w:val="22"/>
        </w:rPr>
        <w:t xml:space="preserve">  The appropriate mechanism for individuals to </w:t>
      </w:r>
      <w:r w:rsidR="007F60F4" w:rsidRPr="00BC2614">
        <w:rPr>
          <w:rFonts w:asciiTheme="majorHAnsi" w:hAnsiTheme="majorHAnsi"/>
          <w:sz w:val="22"/>
          <w:szCs w:val="22"/>
        </w:rPr>
        <w:t>challenge an AC or SO action or inaction</w:t>
      </w:r>
      <w:r w:rsidR="007F60F4">
        <w:rPr>
          <w:rFonts w:asciiTheme="majorHAnsi" w:hAnsiTheme="majorHAnsi"/>
          <w:sz w:val="22"/>
          <w:szCs w:val="22"/>
        </w:rPr>
        <w:t xml:space="preserve"> is though ICANN’s </w:t>
      </w:r>
      <w:proofErr w:type="spellStart"/>
      <w:r w:rsidR="007F60F4" w:rsidRPr="00BC2614">
        <w:rPr>
          <w:rFonts w:asciiTheme="majorHAnsi" w:hAnsiTheme="majorHAnsi"/>
          <w:sz w:val="22"/>
          <w:szCs w:val="22"/>
        </w:rPr>
        <w:t>Ombuds</w:t>
      </w:r>
      <w:proofErr w:type="spellEnd"/>
      <w:r w:rsidR="007F60F4">
        <w:rPr>
          <w:rFonts w:asciiTheme="majorHAnsi" w:hAnsiTheme="majorHAnsi"/>
          <w:sz w:val="22"/>
          <w:szCs w:val="22"/>
        </w:rPr>
        <w:t xml:space="preserve"> Office, whose bylaws and charter are adequate to handle such complaints.</w:t>
      </w:r>
      <w:r w:rsidR="007F60F4">
        <w:rPr>
          <w:rStyle w:val="FootnoteReference"/>
          <w:rFonts w:asciiTheme="majorHAnsi" w:hAnsiTheme="majorHAnsi"/>
          <w:sz w:val="22"/>
          <w:szCs w:val="22"/>
        </w:rPr>
        <w:footnoteReference w:id="9"/>
      </w:r>
      <w:r w:rsidR="007F60F4">
        <w:rPr>
          <w:rFonts w:asciiTheme="majorHAnsi" w:hAnsiTheme="majorHAnsi"/>
          <w:sz w:val="22"/>
          <w:szCs w:val="22"/>
        </w:rPr>
        <w:t xml:space="preserve">  </w:t>
      </w:r>
    </w:p>
    <w:p w14:paraId="19C90D7C" w14:textId="5F4FEFA1" w:rsidR="00BC2614" w:rsidRPr="00BC2614" w:rsidRDefault="007F60F4" w:rsidP="00BC2614">
      <w:pPr>
        <w:spacing w:before="120"/>
        <w:rPr>
          <w:rFonts w:asciiTheme="majorHAnsi" w:hAnsiTheme="majorHAnsi"/>
          <w:sz w:val="22"/>
          <w:szCs w:val="22"/>
        </w:rPr>
      </w:pPr>
      <w:r>
        <w:rPr>
          <w:rFonts w:asciiTheme="majorHAnsi" w:hAnsiTheme="majorHAnsi"/>
          <w:sz w:val="22"/>
          <w:szCs w:val="22"/>
        </w:rPr>
        <w:t xml:space="preserve">We note that duties </w:t>
      </w:r>
      <w:r w:rsidR="005D70E9">
        <w:rPr>
          <w:rFonts w:asciiTheme="majorHAnsi" w:hAnsiTheme="majorHAnsi"/>
          <w:sz w:val="22"/>
          <w:szCs w:val="22"/>
        </w:rPr>
        <w:t xml:space="preserve">and powers </w:t>
      </w:r>
      <w:r>
        <w:rPr>
          <w:rFonts w:asciiTheme="majorHAnsi" w:hAnsiTheme="majorHAnsi"/>
          <w:sz w:val="22"/>
          <w:szCs w:val="22"/>
        </w:rPr>
        <w:t xml:space="preserve">of the </w:t>
      </w:r>
      <w:proofErr w:type="spellStart"/>
      <w:r>
        <w:rPr>
          <w:rFonts w:asciiTheme="majorHAnsi" w:hAnsiTheme="majorHAnsi"/>
          <w:sz w:val="22"/>
          <w:szCs w:val="22"/>
        </w:rPr>
        <w:t>O</w:t>
      </w:r>
      <w:r w:rsidR="005D70E9">
        <w:rPr>
          <w:rFonts w:asciiTheme="majorHAnsi" w:hAnsiTheme="majorHAnsi"/>
          <w:sz w:val="22"/>
          <w:szCs w:val="22"/>
        </w:rPr>
        <w:t>m</w:t>
      </w:r>
      <w:r>
        <w:rPr>
          <w:rFonts w:asciiTheme="majorHAnsi" w:hAnsiTheme="majorHAnsi"/>
          <w:sz w:val="22"/>
          <w:szCs w:val="22"/>
        </w:rPr>
        <w:t>buds</w:t>
      </w:r>
      <w:proofErr w:type="spellEnd"/>
      <w:r>
        <w:rPr>
          <w:rFonts w:asciiTheme="majorHAnsi" w:hAnsiTheme="majorHAnsi"/>
          <w:sz w:val="22"/>
          <w:szCs w:val="22"/>
        </w:rPr>
        <w:t xml:space="preserve"> Office may be further enhanced and clarified through recommendations of the CCWG Work</w:t>
      </w:r>
      <w:r w:rsidR="005D70E9">
        <w:rPr>
          <w:rFonts w:asciiTheme="majorHAnsi" w:hAnsiTheme="majorHAnsi"/>
          <w:sz w:val="22"/>
          <w:szCs w:val="22"/>
        </w:rPr>
        <w:t xml:space="preserve"> Stream 2 </w:t>
      </w:r>
      <w:r w:rsidR="00235992">
        <w:rPr>
          <w:rFonts w:asciiTheme="majorHAnsi" w:hAnsiTheme="majorHAnsi"/>
          <w:sz w:val="22"/>
          <w:szCs w:val="22"/>
        </w:rPr>
        <w:t>project “</w:t>
      </w:r>
      <w:r w:rsidR="00235992" w:rsidRPr="00235992">
        <w:rPr>
          <w:rFonts w:asciiTheme="majorHAnsi" w:hAnsiTheme="majorHAnsi"/>
          <w:sz w:val="22"/>
          <w:szCs w:val="22"/>
        </w:rPr>
        <w:t>Considering enhancements to th</w:t>
      </w:r>
      <w:r w:rsidR="00235992">
        <w:rPr>
          <w:rFonts w:asciiTheme="majorHAnsi" w:hAnsiTheme="majorHAnsi"/>
          <w:sz w:val="22"/>
          <w:szCs w:val="22"/>
        </w:rPr>
        <w:t>e Ombudsman’s role and function”, as provided in ICANN Bylaws.</w:t>
      </w:r>
      <w:r w:rsidR="00235992">
        <w:rPr>
          <w:rStyle w:val="FootnoteReference"/>
          <w:rFonts w:asciiTheme="majorHAnsi" w:hAnsiTheme="majorHAnsi"/>
          <w:sz w:val="22"/>
          <w:szCs w:val="22"/>
        </w:rPr>
        <w:footnoteReference w:id="10"/>
      </w:r>
    </w:p>
    <w:p w14:paraId="7404AE80" w14:textId="460C327E" w:rsidR="003D660B" w:rsidRDefault="003D660B" w:rsidP="008A3007">
      <w:pPr>
        <w:spacing w:before="120"/>
        <w:rPr>
          <w:rFonts w:asciiTheme="majorHAnsi" w:hAnsiTheme="majorHAnsi"/>
          <w:sz w:val="22"/>
          <w:szCs w:val="22"/>
        </w:rPr>
      </w:pPr>
    </w:p>
    <w:p w14:paraId="3DBA8E21" w14:textId="6BDED640" w:rsidR="0021554C" w:rsidRPr="00E17D88" w:rsidRDefault="0021554C" w:rsidP="0021554C">
      <w:pPr>
        <w:pStyle w:val="Heading2"/>
      </w:pPr>
      <w:bookmarkStart w:id="30" w:name="_Toc361929844"/>
      <w:r>
        <w:lastRenderedPageBreak/>
        <w:t>Annex 1</w:t>
      </w:r>
      <w:r w:rsidRPr="00E17D88">
        <w:t xml:space="preserve">. </w:t>
      </w:r>
      <w:r>
        <w:t>Working Group Participants and activity</w:t>
      </w:r>
      <w:bookmarkEnd w:id="30"/>
    </w:p>
    <w:p w14:paraId="56587C09" w14:textId="1569CF23" w:rsidR="00CD29C5" w:rsidRDefault="00CD29C5" w:rsidP="008A3007">
      <w:pPr>
        <w:spacing w:before="120"/>
        <w:rPr>
          <w:rFonts w:asciiTheme="majorHAnsi" w:hAnsiTheme="majorHAnsi"/>
          <w:sz w:val="22"/>
          <w:szCs w:val="22"/>
        </w:rPr>
      </w:pPr>
      <w:r>
        <w:rPr>
          <w:rFonts w:asciiTheme="majorHAnsi" w:hAnsiTheme="majorHAnsi"/>
          <w:sz w:val="22"/>
          <w:szCs w:val="22"/>
        </w:rPr>
        <w:t>The SOAC-Accountability Working Group convened 2</w:t>
      </w:r>
      <w:r w:rsidR="00574C3A">
        <w:rPr>
          <w:rFonts w:asciiTheme="majorHAnsi" w:hAnsiTheme="majorHAnsi"/>
          <w:sz w:val="22"/>
          <w:szCs w:val="22"/>
        </w:rPr>
        <w:t>5</w:t>
      </w:r>
      <w:r>
        <w:rPr>
          <w:rFonts w:asciiTheme="majorHAnsi" w:hAnsiTheme="majorHAnsi"/>
          <w:sz w:val="22"/>
          <w:szCs w:val="22"/>
        </w:rPr>
        <w:t xml:space="preserve"> conference call meetings between Aug-2016 and </w:t>
      </w:r>
      <w:r w:rsidR="00574C3A">
        <w:rPr>
          <w:rFonts w:asciiTheme="majorHAnsi" w:hAnsiTheme="majorHAnsi"/>
          <w:sz w:val="22"/>
          <w:szCs w:val="22"/>
        </w:rPr>
        <w:t>Jul</w:t>
      </w:r>
      <w:r>
        <w:rPr>
          <w:rFonts w:asciiTheme="majorHAnsi" w:hAnsiTheme="majorHAnsi"/>
          <w:sz w:val="22"/>
          <w:szCs w:val="22"/>
        </w:rPr>
        <w:t>-2017.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97"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Farzaneh</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Badii</w:t>
      </w:r>
      <w:proofErr w:type="spellEnd"/>
      <w:r w:rsidRPr="001F7CD6">
        <w:rPr>
          <w:rFonts w:asciiTheme="majorHAnsi" w:hAnsiTheme="majorHAnsi"/>
          <w:sz w:val="20"/>
          <w:szCs w:val="22"/>
        </w:rPr>
        <w:t>,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Athina</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Fragkouli</w:t>
      </w:r>
      <w:proofErr w:type="spellEnd"/>
    </w:p>
    <w:p w14:paraId="20E3919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Avri</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Doria</w:t>
      </w:r>
      <w:proofErr w:type="spellEnd"/>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Fiona </w:t>
      </w:r>
      <w:proofErr w:type="spellStart"/>
      <w:r w:rsidRPr="001F7CD6">
        <w:rPr>
          <w:rFonts w:asciiTheme="majorHAnsi" w:hAnsiTheme="majorHAnsi"/>
          <w:sz w:val="20"/>
          <w:szCs w:val="22"/>
        </w:rPr>
        <w:t>Asonga</w:t>
      </w:r>
      <w:proofErr w:type="spellEnd"/>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Giovanni </w:t>
      </w:r>
      <w:proofErr w:type="spellStart"/>
      <w:r w:rsidRPr="001F7CD6">
        <w:rPr>
          <w:rFonts w:asciiTheme="majorHAnsi" w:hAnsiTheme="majorHAnsi"/>
          <w:sz w:val="20"/>
          <w:szCs w:val="22"/>
        </w:rPr>
        <w:t>Seppia</w:t>
      </w:r>
      <w:proofErr w:type="spellEnd"/>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Greg </w:t>
      </w:r>
      <w:proofErr w:type="spellStart"/>
      <w:r w:rsidRPr="001F7CD6">
        <w:rPr>
          <w:rFonts w:asciiTheme="majorHAnsi" w:hAnsiTheme="majorHAnsi"/>
          <w:sz w:val="20"/>
          <w:szCs w:val="22"/>
        </w:rPr>
        <w:t>Shatan</w:t>
      </w:r>
      <w:proofErr w:type="spellEnd"/>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Herb </w:t>
      </w:r>
      <w:proofErr w:type="spellStart"/>
      <w:r w:rsidRPr="001F7CD6">
        <w:rPr>
          <w:rFonts w:asciiTheme="majorHAnsi" w:hAnsiTheme="majorHAnsi"/>
          <w:sz w:val="20"/>
          <w:szCs w:val="22"/>
        </w:rPr>
        <w:t>Waye</w:t>
      </w:r>
      <w:proofErr w:type="spellEnd"/>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Isaac </w:t>
      </w:r>
      <w:proofErr w:type="spellStart"/>
      <w:r w:rsidRPr="001F7CD6">
        <w:rPr>
          <w:rFonts w:asciiTheme="majorHAnsi" w:hAnsiTheme="majorHAnsi"/>
          <w:sz w:val="20"/>
          <w:szCs w:val="22"/>
        </w:rPr>
        <w:t>Maposa</w:t>
      </w:r>
      <w:proofErr w:type="spellEnd"/>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Jean-Jacques </w:t>
      </w:r>
      <w:proofErr w:type="spellStart"/>
      <w:r w:rsidRPr="001F7CD6">
        <w:rPr>
          <w:rFonts w:asciiTheme="majorHAnsi" w:hAnsiTheme="majorHAnsi"/>
          <w:sz w:val="20"/>
          <w:szCs w:val="22"/>
        </w:rPr>
        <w:t>Subrenat</w:t>
      </w:r>
      <w:proofErr w:type="spellEnd"/>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Jon </w:t>
      </w:r>
      <w:proofErr w:type="spellStart"/>
      <w:r w:rsidRPr="001F7CD6">
        <w:rPr>
          <w:rFonts w:asciiTheme="majorHAnsi" w:hAnsiTheme="majorHAnsi"/>
          <w:sz w:val="20"/>
          <w:szCs w:val="22"/>
        </w:rPr>
        <w:t>Nevett</w:t>
      </w:r>
      <w:proofErr w:type="spellEnd"/>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Jorge </w:t>
      </w:r>
      <w:proofErr w:type="spellStart"/>
      <w:r w:rsidRPr="001F7CD6">
        <w:rPr>
          <w:rFonts w:asciiTheme="majorHAnsi" w:hAnsiTheme="majorHAnsi"/>
          <w:sz w:val="20"/>
          <w:szCs w:val="22"/>
        </w:rPr>
        <w:t>Cancio</w:t>
      </w:r>
      <w:proofErr w:type="spellEnd"/>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Juan </w:t>
      </w:r>
      <w:proofErr w:type="spellStart"/>
      <w:r w:rsidRPr="001F7CD6">
        <w:rPr>
          <w:rFonts w:asciiTheme="majorHAnsi" w:hAnsiTheme="majorHAnsi"/>
          <w:sz w:val="20"/>
          <w:szCs w:val="22"/>
        </w:rPr>
        <w:t>Alejo</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Peirano</w:t>
      </w:r>
      <w:proofErr w:type="spellEnd"/>
    </w:p>
    <w:p w14:paraId="6B155298"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Julf</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Helsingius</w:t>
      </w:r>
      <w:proofErr w:type="spellEnd"/>
    </w:p>
    <w:p w14:paraId="2C0E88B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Kavouss</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Arasteh</w:t>
      </w:r>
      <w:proofErr w:type="spellEnd"/>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Malcolm </w:t>
      </w:r>
      <w:proofErr w:type="spellStart"/>
      <w:r w:rsidRPr="001F7CD6">
        <w:rPr>
          <w:rFonts w:asciiTheme="majorHAnsi" w:hAnsiTheme="majorHAnsi"/>
          <w:sz w:val="20"/>
          <w:szCs w:val="22"/>
        </w:rPr>
        <w:t>Hutty</w:t>
      </w:r>
      <w:proofErr w:type="spellEnd"/>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Mary </w:t>
      </w:r>
      <w:proofErr w:type="spellStart"/>
      <w:r w:rsidRPr="001F7CD6">
        <w:rPr>
          <w:rFonts w:asciiTheme="majorHAnsi" w:hAnsiTheme="majorHAnsi"/>
          <w:sz w:val="20"/>
          <w:szCs w:val="22"/>
        </w:rPr>
        <w:t>Uduma</w:t>
      </w:r>
      <w:proofErr w:type="spellEnd"/>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Olga </w:t>
      </w:r>
      <w:proofErr w:type="spellStart"/>
      <w:r w:rsidRPr="001F7CD6">
        <w:rPr>
          <w:rFonts w:asciiTheme="majorHAnsi" w:hAnsiTheme="majorHAnsi"/>
          <w:sz w:val="20"/>
          <w:szCs w:val="22"/>
        </w:rPr>
        <w:t>Cavalli</w:t>
      </w:r>
      <w:proofErr w:type="spellEnd"/>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Rafik</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Dammak</w:t>
      </w:r>
      <w:proofErr w:type="spellEnd"/>
    </w:p>
    <w:p w14:paraId="6FFFB43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Renu</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Sirothiya</w:t>
      </w:r>
      <w:proofErr w:type="spellEnd"/>
    </w:p>
    <w:p w14:paraId="3FB14FC3"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Rinalia</w:t>
      </w:r>
      <w:proofErr w:type="spellEnd"/>
      <w:r w:rsidRPr="001F7CD6">
        <w:rPr>
          <w:rFonts w:asciiTheme="majorHAnsi" w:hAnsiTheme="majorHAnsi"/>
          <w:sz w:val="20"/>
          <w:szCs w:val="22"/>
        </w:rPr>
        <w:t xml:space="preserve">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Rosalia</w:t>
      </w:r>
      <w:proofErr w:type="spellEnd"/>
      <w:r w:rsidRPr="001F7CD6">
        <w:rPr>
          <w:rFonts w:asciiTheme="majorHAnsi" w:hAnsiTheme="majorHAnsi"/>
          <w:sz w:val="20"/>
          <w:szCs w:val="22"/>
        </w:rPr>
        <w:t xml:space="preserve">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Sebastien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Bachollet</w:t>
      </w:r>
      <w:proofErr w:type="spellEnd"/>
    </w:p>
    <w:p w14:paraId="6214F8C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Seun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Ojedeji</w:t>
      </w:r>
      <w:proofErr w:type="spellEnd"/>
    </w:p>
    <w:p w14:paraId="5999A7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Sivasubramanian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Muthusamy</w:t>
      </w:r>
      <w:proofErr w:type="spellEnd"/>
    </w:p>
    <w:p w14:paraId="76C8B50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Stefania</w:t>
      </w:r>
      <w:proofErr w:type="spellEnd"/>
      <w:r w:rsidRPr="001F7CD6">
        <w:rPr>
          <w:rFonts w:asciiTheme="majorHAnsi" w:hAnsiTheme="majorHAnsi"/>
          <w:sz w:val="20"/>
          <w:szCs w:val="22"/>
        </w:rPr>
        <w:t xml:space="preserve">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Tatiana </w:t>
      </w:r>
      <w:proofErr w:type="spellStart"/>
      <w:r w:rsidRPr="001F7CD6">
        <w:rPr>
          <w:rFonts w:asciiTheme="majorHAnsi" w:hAnsiTheme="majorHAnsi"/>
          <w:sz w:val="20"/>
          <w:szCs w:val="22"/>
        </w:rPr>
        <w:t>Tropina</w:t>
      </w:r>
      <w:proofErr w:type="spellEnd"/>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Vinay</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Kesari</w:t>
      </w:r>
      <w:proofErr w:type="spellEnd"/>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8"/>
      <w:footerReference w:type="default" r:id="rId99"/>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F6D" w14:textId="77777777" w:rsidR="00235992" w:rsidRDefault="00235992" w:rsidP="008A3007">
      <w:r>
        <w:separator/>
      </w:r>
    </w:p>
  </w:endnote>
  <w:endnote w:type="continuationSeparator" w:id="0">
    <w:p w14:paraId="681C90F0" w14:textId="77777777" w:rsidR="00235992" w:rsidRDefault="00235992"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235992" w:rsidRPr="008A3007" w:rsidRDefault="00235992"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7815B2">
      <w:rPr>
        <w:rFonts w:asciiTheme="majorHAnsi" w:hAnsiTheme="majorHAnsi" w:cs="Times New Roman"/>
        <w:noProof/>
        <w:sz w:val="20"/>
        <w:szCs w:val="20"/>
      </w:rPr>
      <w:t>16</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7815B2">
      <w:rPr>
        <w:rFonts w:asciiTheme="majorHAnsi" w:hAnsiTheme="majorHAnsi" w:cs="Times New Roman"/>
        <w:noProof/>
        <w:sz w:val="20"/>
        <w:szCs w:val="20"/>
      </w:rPr>
      <w:t>16</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F0F5" w14:textId="77777777" w:rsidR="00235992" w:rsidRDefault="00235992" w:rsidP="008A3007">
      <w:r>
        <w:separator/>
      </w:r>
    </w:p>
  </w:footnote>
  <w:footnote w:type="continuationSeparator" w:id="0">
    <w:p w14:paraId="1E1B982A" w14:textId="77777777" w:rsidR="00235992" w:rsidRDefault="00235992" w:rsidP="008A3007">
      <w:r>
        <w:continuationSeparator/>
      </w:r>
    </w:p>
  </w:footnote>
  <w:footnote w:id="1">
    <w:p w14:paraId="38FCD8CC"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2">
    <w:p w14:paraId="5715ED9D" w14:textId="7B5B926E"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3">
    <w:p w14:paraId="7F498243"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4">
    <w:p w14:paraId="42174990"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5">
    <w:p w14:paraId="126DF1A8"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6">
    <w:p w14:paraId="16610036" w14:textId="77777777" w:rsidR="00235992" w:rsidRPr="004B4A06" w:rsidRDefault="00235992" w:rsidP="00BD3637">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6">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7">
    <w:p w14:paraId="3B636522" w14:textId="77777777" w:rsidR="00235992" w:rsidRPr="00593DBF" w:rsidRDefault="00235992" w:rsidP="00593DBF">
      <w:pPr>
        <w:pStyle w:val="FootnoteText"/>
        <w:spacing w:before="120"/>
        <w:rPr>
          <w:rFonts w:asciiTheme="majorHAnsi" w:hAnsiTheme="majorHAnsi"/>
          <w:sz w:val="18"/>
          <w:szCs w:val="20"/>
        </w:rPr>
      </w:pPr>
      <w:r w:rsidRPr="00593DBF">
        <w:rPr>
          <w:rStyle w:val="FootnoteReference"/>
          <w:rFonts w:asciiTheme="majorHAnsi" w:hAnsiTheme="majorHAnsi"/>
          <w:sz w:val="18"/>
          <w:szCs w:val="20"/>
        </w:rPr>
        <w:footnoteRef/>
      </w:r>
      <w:r w:rsidRPr="00593DBF">
        <w:rPr>
          <w:rFonts w:asciiTheme="majorHAnsi" w:hAnsiTheme="majorHAnsi"/>
          <w:sz w:val="18"/>
          <w:szCs w:val="20"/>
        </w:rPr>
        <w:t xml:space="preserve"> Operational Standards for Reviews that are required in ICANN Bylaws Section 4.4</w:t>
      </w:r>
    </w:p>
  </w:footnote>
  <w:footnote w:id="8">
    <w:p w14:paraId="765E4758" w14:textId="77777777" w:rsidR="00235992" w:rsidRDefault="00235992"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 w:id="9">
    <w:p w14:paraId="40B89A97" w14:textId="62F7B3EC" w:rsidR="00235992" w:rsidRPr="00235992" w:rsidRDefault="00235992">
      <w:pPr>
        <w:pStyle w:val="FootnoteText"/>
        <w:rPr>
          <w:rFonts w:asciiTheme="majorHAnsi" w:hAnsiTheme="majorHAnsi"/>
          <w:sz w:val="18"/>
          <w:szCs w:val="20"/>
        </w:rPr>
      </w:pPr>
      <w:r w:rsidRPr="00235992">
        <w:rPr>
          <w:rStyle w:val="FootnoteReference"/>
          <w:rFonts w:asciiTheme="majorHAnsi" w:hAnsiTheme="majorHAnsi"/>
          <w:sz w:val="18"/>
          <w:szCs w:val="20"/>
        </w:rPr>
        <w:footnoteRef/>
      </w:r>
      <w:r w:rsidRPr="00235992">
        <w:rPr>
          <w:rFonts w:asciiTheme="majorHAnsi" w:hAnsiTheme="majorHAnsi"/>
          <w:sz w:val="18"/>
          <w:szCs w:val="20"/>
        </w:rPr>
        <w:t xml:space="preserve"> Statement of Herb </w:t>
      </w:r>
      <w:proofErr w:type="spellStart"/>
      <w:r w:rsidRPr="00235992">
        <w:rPr>
          <w:rFonts w:asciiTheme="majorHAnsi" w:hAnsiTheme="majorHAnsi"/>
          <w:sz w:val="18"/>
          <w:szCs w:val="20"/>
        </w:rPr>
        <w:t>Waye</w:t>
      </w:r>
      <w:proofErr w:type="spellEnd"/>
      <w:r w:rsidRPr="00235992">
        <w:rPr>
          <w:rFonts w:asciiTheme="majorHAnsi" w:hAnsiTheme="majorHAnsi"/>
          <w:sz w:val="18"/>
          <w:szCs w:val="20"/>
        </w:rPr>
        <w:t>, ICANN Ombudsman, 13-Jul-2017, regarding Section 5 of ICANN Bylaws</w:t>
      </w:r>
      <w:r w:rsidR="007C54B2">
        <w:rPr>
          <w:rFonts w:asciiTheme="majorHAnsi" w:hAnsiTheme="majorHAnsi"/>
          <w:sz w:val="18"/>
          <w:szCs w:val="20"/>
        </w:rPr>
        <w:t xml:space="preserve"> </w:t>
      </w:r>
      <w:r w:rsidRPr="00235992">
        <w:rPr>
          <w:rFonts w:asciiTheme="majorHAnsi" w:hAnsiTheme="majorHAnsi"/>
          <w:sz w:val="18"/>
          <w:szCs w:val="20"/>
        </w:rPr>
        <w:t xml:space="preserve">at </w:t>
      </w:r>
      <w:hyperlink r:id="rId7" w:anchor="article5" w:history="1">
        <w:r w:rsidRPr="00235992">
          <w:rPr>
            <w:rStyle w:val="Hyperlink"/>
            <w:rFonts w:asciiTheme="majorHAnsi" w:hAnsiTheme="majorHAnsi"/>
            <w:sz w:val="18"/>
            <w:szCs w:val="20"/>
          </w:rPr>
          <w:t>https://www.icann.org/resources/pages/governance/bylaws-en/#article5</w:t>
        </w:r>
      </w:hyperlink>
      <w:r w:rsidRPr="00235992">
        <w:rPr>
          <w:rFonts w:asciiTheme="majorHAnsi" w:hAnsiTheme="majorHAnsi"/>
          <w:sz w:val="18"/>
          <w:szCs w:val="20"/>
        </w:rPr>
        <w:t xml:space="preserve"> </w:t>
      </w:r>
    </w:p>
  </w:footnote>
  <w:footnote w:id="10">
    <w:p w14:paraId="18A8D9C5" w14:textId="3B8082F5" w:rsidR="00235992" w:rsidRPr="00235992" w:rsidRDefault="00235992" w:rsidP="00235992">
      <w:pPr>
        <w:pStyle w:val="FootnoteText"/>
        <w:spacing w:before="120"/>
        <w:rPr>
          <w:rFonts w:asciiTheme="majorHAnsi" w:hAnsiTheme="majorHAnsi"/>
          <w:sz w:val="18"/>
        </w:rPr>
      </w:pPr>
      <w:r w:rsidRPr="00235992">
        <w:rPr>
          <w:rStyle w:val="FootnoteReference"/>
          <w:rFonts w:asciiTheme="majorHAnsi" w:hAnsiTheme="majorHAnsi"/>
          <w:sz w:val="18"/>
        </w:rPr>
        <w:footnoteRef/>
      </w:r>
      <w:r w:rsidRPr="00235992">
        <w:rPr>
          <w:rFonts w:asciiTheme="majorHAnsi" w:hAnsiTheme="majorHAnsi"/>
          <w:sz w:val="18"/>
        </w:rPr>
        <w:t xml:space="preserve"> Article 27, Transition Article, in ICANN Bylaws as adopted Oct-2016, at </w:t>
      </w:r>
      <w:hyperlink r:id="rId8" w:anchor="article27" w:history="1">
        <w:r w:rsidRPr="00235992">
          <w:rPr>
            <w:rStyle w:val="Hyperlink"/>
            <w:rFonts w:asciiTheme="majorHAnsi" w:hAnsiTheme="majorHAnsi"/>
            <w:sz w:val="18"/>
          </w:rPr>
          <w:t>https://www.icann.org/resources/pages/governance/bylaws-en/#article27</w:t>
        </w:r>
      </w:hyperlink>
      <w:r w:rsidRPr="00235992">
        <w:rPr>
          <w:rFonts w:asciiTheme="majorHAnsi" w:hAnsiTheme="majorHAnsi"/>
          <w:sz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7871DC81" w:rsidR="00235992" w:rsidRPr="008A3007" w:rsidRDefault="00235992"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 xml:space="preserve">                                            CCWG Draft 3.1, 17-Jul-2017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E277D3"/>
    <w:multiLevelType w:val="hybridMultilevel"/>
    <w:tmpl w:val="72441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6519E9"/>
    <w:multiLevelType w:val="hybridMultilevel"/>
    <w:tmpl w:val="5C047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3636E"/>
    <w:multiLevelType w:val="hybridMultilevel"/>
    <w:tmpl w:val="874CD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9D24E7"/>
    <w:multiLevelType w:val="hybridMultilevel"/>
    <w:tmpl w:val="C26E8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DE139F"/>
    <w:multiLevelType w:val="hybridMultilevel"/>
    <w:tmpl w:val="BD1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0095B45"/>
    <w:multiLevelType w:val="hybridMultilevel"/>
    <w:tmpl w:val="60AC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6"/>
  </w:num>
  <w:num w:numId="4">
    <w:abstractNumId w:val="0"/>
  </w:num>
  <w:num w:numId="5">
    <w:abstractNumId w:val="43"/>
  </w:num>
  <w:num w:numId="6">
    <w:abstractNumId w:val="57"/>
  </w:num>
  <w:num w:numId="7">
    <w:abstractNumId w:val="33"/>
  </w:num>
  <w:num w:numId="8">
    <w:abstractNumId w:val="26"/>
  </w:num>
  <w:num w:numId="9">
    <w:abstractNumId w:val="60"/>
  </w:num>
  <w:num w:numId="10">
    <w:abstractNumId w:val="13"/>
  </w:num>
  <w:num w:numId="11">
    <w:abstractNumId w:val="51"/>
  </w:num>
  <w:num w:numId="12">
    <w:abstractNumId w:val="46"/>
  </w:num>
  <w:num w:numId="13">
    <w:abstractNumId w:val="38"/>
  </w:num>
  <w:num w:numId="14">
    <w:abstractNumId w:val="24"/>
  </w:num>
  <w:num w:numId="15">
    <w:abstractNumId w:val="5"/>
  </w:num>
  <w:num w:numId="16">
    <w:abstractNumId w:val="35"/>
  </w:num>
  <w:num w:numId="17">
    <w:abstractNumId w:val="55"/>
  </w:num>
  <w:num w:numId="18">
    <w:abstractNumId w:val="10"/>
  </w:num>
  <w:num w:numId="19">
    <w:abstractNumId w:val="11"/>
  </w:num>
  <w:num w:numId="20">
    <w:abstractNumId w:val="18"/>
  </w:num>
  <w:num w:numId="21">
    <w:abstractNumId w:val="44"/>
  </w:num>
  <w:num w:numId="22">
    <w:abstractNumId w:val="22"/>
  </w:num>
  <w:num w:numId="23">
    <w:abstractNumId w:val="4"/>
  </w:num>
  <w:num w:numId="24">
    <w:abstractNumId w:val="42"/>
  </w:num>
  <w:num w:numId="25">
    <w:abstractNumId w:val="32"/>
  </w:num>
  <w:num w:numId="26">
    <w:abstractNumId w:val="20"/>
  </w:num>
  <w:num w:numId="27">
    <w:abstractNumId w:val="41"/>
  </w:num>
  <w:num w:numId="28">
    <w:abstractNumId w:val="21"/>
  </w:num>
  <w:num w:numId="29">
    <w:abstractNumId w:val="25"/>
  </w:num>
  <w:num w:numId="30">
    <w:abstractNumId w:val="34"/>
  </w:num>
  <w:num w:numId="31">
    <w:abstractNumId w:val="15"/>
  </w:num>
  <w:num w:numId="32">
    <w:abstractNumId w:val="1"/>
  </w:num>
  <w:num w:numId="33">
    <w:abstractNumId w:val="8"/>
  </w:num>
  <w:num w:numId="34">
    <w:abstractNumId w:val="59"/>
  </w:num>
  <w:num w:numId="35">
    <w:abstractNumId w:val="45"/>
  </w:num>
  <w:num w:numId="36">
    <w:abstractNumId w:val="48"/>
  </w:num>
  <w:num w:numId="37">
    <w:abstractNumId w:val="37"/>
  </w:num>
  <w:num w:numId="38">
    <w:abstractNumId w:val="31"/>
  </w:num>
  <w:num w:numId="39">
    <w:abstractNumId w:val="47"/>
  </w:num>
  <w:num w:numId="40">
    <w:abstractNumId w:val="40"/>
  </w:num>
  <w:num w:numId="41">
    <w:abstractNumId w:val="63"/>
  </w:num>
  <w:num w:numId="42">
    <w:abstractNumId w:val="36"/>
  </w:num>
  <w:num w:numId="43">
    <w:abstractNumId w:val="2"/>
  </w:num>
  <w:num w:numId="44">
    <w:abstractNumId w:val="9"/>
  </w:num>
  <w:num w:numId="45">
    <w:abstractNumId w:val="52"/>
  </w:num>
  <w:num w:numId="46">
    <w:abstractNumId w:val="58"/>
  </w:num>
  <w:num w:numId="47">
    <w:abstractNumId w:val="28"/>
  </w:num>
  <w:num w:numId="48">
    <w:abstractNumId w:val="16"/>
  </w:num>
  <w:num w:numId="49">
    <w:abstractNumId w:val="12"/>
  </w:num>
  <w:num w:numId="50">
    <w:abstractNumId w:val="49"/>
  </w:num>
  <w:num w:numId="51">
    <w:abstractNumId w:val="17"/>
  </w:num>
  <w:num w:numId="52">
    <w:abstractNumId w:val="53"/>
  </w:num>
  <w:num w:numId="53">
    <w:abstractNumId w:val="14"/>
  </w:num>
  <w:num w:numId="54">
    <w:abstractNumId w:val="19"/>
  </w:num>
  <w:num w:numId="55">
    <w:abstractNumId w:val="54"/>
  </w:num>
  <w:num w:numId="56">
    <w:abstractNumId w:val="3"/>
  </w:num>
  <w:num w:numId="57">
    <w:abstractNumId w:val="29"/>
  </w:num>
  <w:num w:numId="58">
    <w:abstractNumId w:val="7"/>
  </w:num>
  <w:num w:numId="59">
    <w:abstractNumId w:val="23"/>
  </w:num>
  <w:num w:numId="60">
    <w:abstractNumId w:val="30"/>
  </w:num>
  <w:num w:numId="61">
    <w:abstractNumId w:val="27"/>
  </w:num>
  <w:num w:numId="62">
    <w:abstractNumId w:val="56"/>
  </w:num>
  <w:num w:numId="63">
    <w:abstractNumId w:val="62"/>
  </w:num>
  <w:num w:numId="64">
    <w:abstractNumId w:val="39"/>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243A6"/>
    <w:rsid w:val="0003670A"/>
    <w:rsid w:val="00040126"/>
    <w:rsid w:val="0004172C"/>
    <w:rsid w:val="00055807"/>
    <w:rsid w:val="00055B22"/>
    <w:rsid w:val="00066579"/>
    <w:rsid w:val="00070B94"/>
    <w:rsid w:val="00083680"/>
    <w:rsid w:val="00083F64"/>
    <w:rsid w:val="00093A10"/>
    <w:rsid w:val="000A4A9A"/>
    <w:rsid w:val="000E7FC2"/>
    <w:rsid w:val="000F3BA5"/>
    <w:rsid w:val="00104141"/>
    <w:rsid w:val="001050E7"/>
    <w:rsid w:val="00114E2F"/>
    <w:rsid w:val="001307AD"/>
    <w:rsid w:val="00130B7F"/>
    <w:rsid w:val="0013162C"/>
    <w:rsid w:val="00143312"/>
    <w:rsid w:val="00144603"/>
    <w:rsid w:val="00152854"/>
    <w:rsid w:val="0015523C"/>
    <w:rsid w:val="001837AC"/>
    <w:rsid w:val="001B6F7B"/>
    <w:rsid w:val="001C5BCF"/>
    <w:rsid w:val="001E3308"/>
    <w:rsid w:val="001F544D"/>
    <w:rsid w:val="001F7CD6"/>
    <w:rsid w:val="002120B5"/>
    <w:rsid w:val="0021554C"/>
    <w:rsid w:val="00235992"/>
    <w:rsid w:val="00241F23"/>
    <w:rsid w:val="00254E19"/>
    <w:rsid w:val="00261F45"/>
    <w:rsid w:val="00287D74"/>
    <w:rsid w:val="00292368"/>
    <w:rsid w:val="002A077C"/>
    <w:rsid w:val="002C282D"/>
    <w:rsid w:val="002D057F"/>
    <w:rsid w:val="0030492E"/>
    <w:rsid w:val="0033123F"/>
    <w:rsid w:val="0034267D"/>
    <w:rsid w:val="00354715"/>
    <w:rsid w:val="003622A1"/>
    <w:rsid w:val="00362679"/>
    <w:rsid w:val="0039276C"/>
    <w:rsid w:val="0039563A"/>
    <w:rsid w:val="003969CB"/>
    <w:rsid w:val="003A1F67"/>
    <w:rsid w:val="003A78B1"/>
    <w:rsid w:val="003C0400"/>
    <w:rsid w:val="003D660B"/>
    <w:rsid w:val="003F7AD8"/>
    <w:rsid w:val="00413145"/>
    <w:rsid w:val="00415BCC"/>
    <w:rsid w:val="00416717"/>
    <w:rsid w:val="00431968"/>
    <w:rsid w:val="00435B5A"/>
    <w:rsid w:val="00471165"/>
    <w:rsid w:val="00484C22"/>
    <w:rsid w:val="00484C69"/>
    <w:rsid w:val="004B0649"/>
    <w:rsid w:val="004B4920"/>
    <w:rsid w:val="004B4A06"/>
    <w:rsid w:val="004B5D35"/>
    <w:rsid w:val="004C1E51"/>
    <w:rsid w:val="004C5647"/>
    <w:rsid w:val="004C6A13"/>
    <w:rsid w:val="004E0ADB"/>
    <w:rsid w:val="004F789E"/>
    <w:rsid w:val="005042B5"/>
    <w:rsid w:val="00510D5A"/>
    <w:rsid w:val="00511901"/>
    <w:rsid w:val="00533A9B"/>
    <w:rsid w:val="005470F8"/>
    <w:rsid w:val="005573CE"/>
    <w:rsid w:val="00567EA6"/>
    <w:rsid w:val="00574C3A"/>
    <w:rsid w:val="0057564D"/>
    <w:rsid w:val="00593DBF"/>
    <w:rsid w:val="005C53A3"/>
    <w:rsid w:val="005D70E9"/>
    <w:rsid w:val="005D7564"/>
    <w:rsid w:val="005F4474"/>
    <w:rsid w:val="005F4D9A"/>
    <w:rsid w:val="00601962"/>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15B2"/>
    <w:rsid w:val="007842F2"/>
    <w:rsid w:val="00794C04"/>
    <w:rsid w:val="007B6363"/>
    <w:rsid w:val="007B7C5A"/>
    <w:rsid w:val="007C54B2"/>
    <w:rsid w:val="007F0921"/>
    <w:rsid w:val="007F60F4"/>
    <w:rsid w:val="00805AFA"/>
    <w:rsid w:val="00815297"/>
    <w:rsid w:val="00816091"/>
    <w:rsid w:val="008315BB"/>
    <w:rsid w:val="008320E0"/>
    <w:rsid w:val="00884A3E"/>
    <w:rsid w:val="00894F01"/>
    <w:rsid w:val="008A3007"/>
    <w:rsid w:val="008A42D7"/>
    <w:rsid w:val="008A642E"/>
    <w:rsid w:val="008B4EFB"/>
    <w:rsid w:val="008C3514"/>
    <w:rsid w:val="008D0CA9"/>
    <w:rsid w:val="00932A7E"/>
    <w:rsid w:val="009374DF"/>
    <w:rsid w:val="00940254"/>
    <w:rsid w:val="0095512B"/>
    <w:rsid w:val="009561AF"/>
    <w:rsid w:val="00957D42"/>
    <w:rsid w:val="0096767A"/>
    <w:rsid w:val="00976038"/>
    <w:rsid w:val="0098328A"/>
    <w:rsid w:val="009903FD"/>
    <w:rsid w:val="009972C5"/>
    <w:rsid w:val="009A1D0C"/>
    <w:rsid w:val="009B51FD"/>
    <w:rsid w:val="009B57A0"/>
    <w:rsid w:val="009D1671"/>
    <w:rsid w:val="009D411D"/>
    <w:rsid w:val="009E7B95"/>
    <w:rsid w:val="009F0630"/>
    <w:rsid w:val="009F1CED"/>
    <w:rsid w:val="00A217AE"/>
    <w:rsid w:val="00A2229D"/>
    <w:rsid w:val="00A52787"/>
    <w:rsid w:val="00A5716C"/>
    <w:rsid w:val="00A57EC4"/>
    <w:rsid w:val="00A71C53"/>
    <w:rsid w:val="00A7776E"/>
    <w:rsid w:val="00A8664E"/>
    <w:rsid w:val="00A97B7C"/>
    <w:rsid w:val="00AC2DA9"/>
    <w:rsid w:val="00AD74A5"/>
    <w:rsid w:val="00AE1C20"/>
    <w:rsid w:val="00AE6146"/>
    <w:rsid w:val="00AF2170"/>
    <w:rsid w:val="00AF3BE1"/>
    <w:rsid w:val="00AF6068"/>
    <w:rsid w:val="00B00C9E"/>
    <w:rsid w:val="00B01557"/>
    <w:rsid w:val="00B15B44"/>
    <w:rsid w:val="00B23A6C"/>
    <w:rsid w:val="00B31EF3"/>
    <w:rsid w:val="00B3483B"/>
    <w:rsid w:val="00B40D7D"/>
    <w:rsid w:val="00B554E3"/>
    <w:rsid w:val="00B62B30"/>
    <w:rsid w:val="00B81D6A"/>
    <w:rsid w:val="00B87E22"/>
    <w:rsid w:val="00B9527C"/>
    <w:rsid w:val="00BA57CE"/>
    <w:rsid w:val="00BC2614"/>
    <w:rsid w:val="00BC4408"/>
    <w:rsid w:val="00BC551A"/>
    <w:rsid w:val="00BD3637"/>
    <w:rsid w:val="00BE197F"/>
    <w:rsid w:val="00BF5395"/>
    <w:rsid w:val="00BF656F"/>
    <w:rsid w:val="00BF711B"/>
    <w:rsid w:val="00C15F4D"/>
    <w:rsid w:val="00C216AF"/>
    <w:rsid w:val="00C2747C"/>
    <w:rsid w:val="00C34044"/>
    <w:rsid w:val="00C6243D"/>
    <w:rsid w:val="00C77EFA"/>
    <w:rsid w:val="00C840F4"/>
    <w:rsid w:val="00CA4F25"/>
    <w:rsid w:val="00CD29C5"/>
    <w:rsid w:val="00CF27C4"/>
    <w:rsid w:val="00D06F13"/>
    <w:rsid w:val="00D17E3D"/>
    <w:rsid w:val="00D221F4"/>
    <w:rsid w:val="00D45DD6"/>
    <w:rsid w:val="00D53445"/>
    <w:rsid w:val="00D566B6"/>
    <w:rsid w:val="00D669B3"/>
    <w:rsid w:val="00DA44EF"/>
    <w:rsid w:val="00DD50BD"/>
    <w:rsid w:val="00DF571B"/>
    <w:rsid w:val="00E17D88"/>
    <w:rsid w:val="00E21BC1"/>
    <w:rsid w:val="00E3003A"/>
    <w:rsid w:val="00E40044"/>
    <w:rsid w:val="00E420E0"/>
    <w:rsid w:val="00E4407E"/>
    <w:rsid w:val="00E46EF0"/>
    <w:rsid w:val="00E5315C"/>
    <w:rsid w:val="00E57D96"/>
    <w:rsid w:val="00E62089"/>
    <w:rsid w:val="00F15F80"/>
    <w:rsid w:val="00F21F49"/>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14E2F"/>
  </w:style>
  <w:style w:type="character" w:customStyle="1" w:styleId="FootnoteTextChar">
    <w:name w:val="Footnote Text Char"/>
    <w:basedOn w:val="DefaultParagraphFont"/>
    <w:link w:val="FootnoteText"/>
    <w:uiPriority w:val="99"/>
    <w:rsid w:val="00114E2F"/>
  </w:style>
  <w:style w:type="character" w:styleId="FootnoteReference">
    <w:name w:val="footnote reference"/>
    <w:basedOn w:val="DefaultParagraphFont"/>
    <w:uiPriority w:val="99"/>
    <w:unhideWhenUsed/>
    <w:rsid w:val="00114E2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14E2F"/>
  </w:style>
  <w:style w:type="character" w:customStyle="1" w:styleId="FootnoteTextChar">
    <w:name w:val="Footnote Text Char"/>
    <w:basedOn w:val="DefaultParagraphFont"/>
    <w:link w:val="FootnoteText"/>
    <w:uiPriority w:val="99"/>
    <w:rsid w:val="00114E2F"/>
  </w:style>
  <w:style w:type="character" w:styleId="FootnoteReference">
    <w:name w:val="footnote reference"/>
    <w:basedOn w:val="DefaultParagraphFont"/>
    <w:uiPriority w:val="99"/>
    <w:unhideWhenUsed/>
    <w:rsid w:val="00114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7029">
      <w:bodyDiv w:val="1"/>
      <w:marLeft w:val="0"/>
      <w:marRight w:val="0"/>
      <w:marTop w:val="0"/>
      <w:marBottom w:val="0"/>
      <w:divBdr>
        <w:top w:val="none" w:sz="0" w:space="0" w:color="auto"/>
        <w:left w:val="none" w:sz="0" w:space="0" w:color="auto"/>
        <w:bottom w:val="none" w:sz="0" w:space="0" w:color="auto"/>
        <w:right w:val="none" w:sz="0" w:space="0" w:color="auto"/>
      </w:divBdr>
      <w:divsChild>
        <w:div w:id="1825196315">
          <w:marLeft w:val="0"/>
          <w:marRight w:val="0"/>
          <w:marTop w:val="0"/>
          <w:marBottom w:val="0"/>
          <w:divBdr>
            <w:top w:val="none" w:sz="0" w:space="0" w:color="auto"/>
            <w:left w:val="none" w:sz="0" w:space="0" w:color="auto"/>
            <w:bottom w:val="none" w:sz="0" w:space="0" w:color="auto"/>
            <w:right w:val="none" w:sz="0" w:space="0" w:color="auto"/>
          </w:divBdr>
          <w:divsChild>
            <w:div w:id="1906212726">
              <w:marLeft w:val="0"/>
              <w:marRight w:val="0"/>
              <w:marTop w:val="0"/>
              <w:marBottom w:val="0"/>
              <w:divBdr>
                <w:top w:val="none" w:sz="0" w:space="0" w:color="auto"/>
                <w:left w:val="none" w:sz="0" w:space="0" w:color="auto"/>
                <w:bottom w:val="none" w:sz="0" w:space="0" w:color="auto"/>
                <w:right w:val="none" w:sz="0" w:space="0" w:color="auto"/>
              </w:divBdr>
              <w:divsChild>
                <w:div w:id="4070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346">
      <w:bodyDiv w:val="1"/>
      <w:marLeft w:val="0"/>
      <w:marRight w:val="0"/>
      <w:marTop w:val="0"/>
      <w:marBottom w:val="0"/>
      <w:divBdr>
        <w:top w:val="none" w:sz="0" w:space="0" w:color="auto"/>
        <w:left w:val="none" w:sz="0" w:space="0" w:color="auto"/>
        <w:bottom w:val="none" w:sz="0" w:space="0" w:color="auto"/>
        <w:right w:val="none" w:sz="0" w:space="0" w:color="auto"/>
      </w:divBdr>
    </w:div>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theme" Target="theme/theme1.xml"/><Relationship Id="rId10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community.icann.org/display/atlarge/Rules+of+Procedure" TargetMode="External"/><Relationship Id="rId32" Type="http://schemas.openxmlformats.org/officeDocument/2006/relationships/hyperlink" Target="https://atlarge.icann.org/alses" TargetMode="External"/><Relationship Id="rId33" Type="http://schemas.openxmlformats.org/officeDocument/2006/relationships/hyperlink" Target="https://www.nro.net/about-the-nro/regional-internet-registries" TargetMode="External"/><Relationship Id="rId34" Type="http://schemas.openxmlformats.org/officeDocument/2006/relationships/hyperlink" Target="https://ccnso.icann.org/about/guidelines.htm" TargetMode="External"/><Relationship Id="rId35" Type="http://schemas.openxmlformats.org/officeDocument/2006/relationships/hyperlink" Target="https://gacweb.icann.org/display/gacweb/GAC+Operating+Principles" TargetMode="External"/><Relationship Id="rId36" Type="http://schemas.openxmlformats.org/officeDocument/2006/relationships/hyperlink" Target="https://gnso.icann.org/en/council/op-procedures-01sep16-en.pdf" TargetMode="External"/><Relationship Id="rId37" Type="http://schemas.openxmlformats.org/officeDocument/2006/relationships/hyperlink" Target="http://www.bizconst.org/charter" TargetMode="External"/><Relationship Id="rId38" Type="http://schemas.openxmlformats.org/officeDocument/2006/relationships/hyperlink" Target="http://www.bizconst.org/bc-membership-list" TargetMode="External"/><Relationship Id="rId39" Type="http://schemas.openxmlformats.org/officeDocument/2006/relationships/hyperlink" Target="https://forum.icann.org/lists/bc-gnso/" TargetMode="External"/><Relationship Id="rId50" Type="http://schemas.openxmlformats.org/officeDocument/2006/relationships/hyperlink" Target="https://community.icann.org/display/gnsononcomstake/Charter" TargetMode="External"/><Relationship Id="rId51" Type="http://schemas.openxmlformats.org/officeDocument/2006/relationships/hyperlink" Target="https://docs.google.com/spreadsheets/d/1o0n2H5xkTPmon8K8wbFg0dAZTouHWgkWjcyNsSs_YXw/edit" TargetMode="External"/><Relationship Id="rId52" Type="http://schemas.openxmlformats.org/officeDocument/2006/relationships/hyperlink" Target="https://community.icann.org/display/gnsononcomstake/Leadership+Team" TargetMode="External"/><Relationship Id="rId53" Type="http://schemas.openxmlformats.org/officeDocument/2006/relationships/hyperlink" Target="https://community.icann.org/display/gnsononcomstake/Meeting+Records" TargetMode="External"/><Relationship Id="rId54" Type="http://schemas.openxmlformats.org/officeDocument/2006/relationships/hyperlink" Target="http://www.ncuc.org/governance/bylaws/bylaws-revision-2016/differential-document/" TargetMode="External"/><Relationship Id="rId55" Type="http://schemas.openxmlformats.org/officeDocument/2006/relationships/hyperlink" Target="http://www.ncuc.org/about/members/"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lists.ncuc.org/cgi-bin/mailman/listinfo" TargetMode="External"/><Relationship Id="rId70" Type="http://schemas.openxmlformats.org/officeDocument/2006/relationships/hyperlink" Target="https://www.icann.org/resources/pages/ssac-biographies-2016-12-15-en" TargetMode="External"/><Relationship Id="rId71" Type="http://schemas.openxmlformats.org/officeDocument/2006/relationships/hyperlink" Target="https://www.icann.org/groups/ssac" TargetMode="External"/><Relationship Id="rId72" Type="http://schemas.openxmlformats.org/officeDocument/2006/relationships/hyperlink" Target="https://www.icann.org/groups/ssac/documents" TargetMode="External"/><Relationship Id="rId73" Type="http://schemas.openxmlformats.org/officeDocument/2006/relationships/hyperlink" Target="https://www.icann.org/resources/pages/ssac-correspondence-2016-01-08-en" TargetMode="External"/><Relationship Id="rId74" Type="http://schemas.openxmlformats.org/officeDocument/2006/relationships/hyperlink" Target="https://www.nro.net/about-the-nro/rir-accountability" TargetMode="External"/><Relationship Id="rId75" Type="http://schemas.openxmlformats.org/officeDocument/2006/relationships/hyperlink" Target="https://aso.icann.org/about-the-" TargetMode="External"/><Relationship Id="rId76" Type="http://schemas.openxmlformats.org/officeDocument/2006/relationships/hyperlink" Target="https://aso.icann.org/contact/aso-mailinglists/" TargetMode="External"/><Relationship Id="rId77" Type="http://schemas.openxmlformats.org/officeDocument/2006/relationships/hyperlink" Target="http://www.bizconst.org/charter" TargetMode="External"/><Relationship Id="rId78" Type="http://schemas.openxmlformats.org/officeDocument/2006/relationships/hyperlink" Target="mailto:info-bc@icann.org)" TargetMode="External"/><Relationship Id="rId79" Type="http://schemas.openxmlformats.org/officeDocument/2006/relationships/hyperlink" Target="http://www.bizconst.org/bc-membership-list" TargetMode="External"/><Relationship Id="rId90" Type="http://schemas.openxmlformats.org/officeDocument/2006/relationships/hyperlink" Target="http://www.ispcp.info/ispcp-bulletin" TargetMode="External"/><Relationship Id="rId91" Type="http://schemas.openxmlformats.org/officeDocument/2006/relationships/hyperlink" Target="https://aso.icann.org/documents/memorandums-of-understanding/memorandum-of-understanding/" TargetMode="External"/><Relationship Id="rId92" Type="http://schemas.openxmlformats.org/officeDocument/2006/relationships/hyperlink" Target="https://www.icann.org/resources/pages/bylaws-" TargetMode="External"/><Relationship Id="rId93" Type="http://schemas.openxmlformats.org/officeDocument/2006/relationships/hyperlink" Target="https://www.nro.net/news/request-for-proposals-for-consulting-services-independent-review-of-the-icann-address-supporting-organisation" TargetMode="External"/><Relationship Id="rId94" Type="http://schemas.openxmlformats.org/officeDocument/2006/relationships/hyperlink" Target="https://www.icann.org/resources/reviews/org/aso" TargetMode="External"/><Relationship Id="rId95" Type="http://schemas.openxmlformats.org/officeDocument/2006/relationships/hyperlink" Target="https://www.nro.net/wp-content/uploads/ASO-Review-Report-2012.pdf" TargetMode="External"/><Relationship Id="rId96" Type="http://schemas.openxmlformats.org/officeDocument/2006/relationships/hyperlink" Target="http://www.bizconst.org/assets/docs/Charter/bc%20charter%20v3%200-final%20draft%20v5.pdf" TargetMode="External"/><Relationship Id="rId97" Type="http://schemas.openxmlformats.org/officeDocument/2006/relationships/hyperlink" Target="https://community.icann.org/pages/viewpage.action?pageId=59643284" TargetMode="External"/><Relationship Id="rId98" Type="http://schemas.openxmlformats.org/officeDocument/2006/relationships/header" Target="header1.xml"/><Relationship Id="rId99" Type="http://schemas.openxmlformats.org/officeDocument/2006/relationships/footer" Target="footer1.xm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s://community.icann.org/display/NPOCC/Active+Members" TargetMode="External"/><Relationship Id="rId25" Type="http://schemas.openxmlformats.org/officeDocument/2006/relationships/hyperlink" Target="https://community.icann.org/display/NPOCC/Charter"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www.ipconstituency.org/bylaws" TargetMode="External"/><Relationship Id="rId42" Type="http://schemas.openxmlformats.org/officeDocument/2006/relationships/hyperlink" Target="http://www.ipconstituency.org/current-membership" TargetMode="External"/><Relationship Id="rId43" Type="http://schemas.openxmlformats.org/officeDocument/2006/relationships/hyperlink" Target="http://www.ipconstituency.org/officers" TargetMode="External"/><Relationship Id="rId44" Type="http://schemas.openxmlformats.org/officeDocument/2006/relationships/hyperlink" Target="http://www.ipconstituency.org/public-comments" TargetMode="External"/><Relationship Id="rId45" Type="http://schemas.openxmlformats.org/officeDocument/2006/relationships/hyperlink" Target="http://mm.icann.org/pipermail/ipc-gnso/" TargetMode="External"/><Relationship Id="rId46" Type="http://schemas.openxmlformats.org/officeDocument/2006/relationships/hyperlink" Target="http://www.ipconstituency.org/meeting-minutes" TargetMode="External"/><Relationship Id="rId47" Type="http://schemas.openxmlformats.org/officeDocument/2006/relationships/hyperlink" Target="https://community.icann.org/pages/viewpage.action?pageId=27854098" TargetMode="External"/><Relationship Id="rId48" Type="http://schemas.openxmlformats.org/officeDocument/2006/relationships/hyperlink" Target="https://gnso.icann.org/en/about/stakeholders-constituencies/csg/isp" TargetMode="External"/><Relationship Id="rId49" Type="http://schemas.openxmlformats.org/officeDocument/2006/relationships/hyperlink" Target="https://community.icann.org/pages/viewpage.action?pageId=27853808" TargetMode="External"/><Relationship Id="rId60" Type="http://schemas.openxmlformats.org/officeDocument/2006/relationships/hyperlink" Target="http://www.ncuc.org/policy/statements/" TargetMode="External"/><Relationship Id="rId61" Type="http://schemas.openxmlformats.org/officeDocument/2006/relationships/hyperlink" Target="https://community.icann.org/display/NPOCC/Charter" TargetMode="External"/><Relationship Id="rId62" Type="http://schemas.openxmlformats.org/officeDocument/2006/relationships/hyperlink" Target="https://community.icann.org/display/NPOCC/NPOC+Charter+Review" TargetMode="External"/><Relationship Id="rId63" Type="http://schemas.openxmlformats.org/officeDocument/2006/relationships/hyperlink" Target="http://www.npoc.org/members/memberlist.php" TargetMode="External"/><Relationship Id="rId64" Type="http://schemas.openxmlformats.org/officeDocument/2006/relationships/hyperlink" Target="http://gnso.icann.org/en/about/stakeholders-constituencies/ncsg/npoc" TargetMode="External"/><Relationship Id="rId65" Type="http://schemas.openxmlformats.org/officeDocument/2006/relationships/hyperlink" Target="https://mm.icann.org/mailman/listinfo/npoc-discuss" TargetMode="External"/><Relationship Id="rId66" Type="http://schemas.openxmlformats.org/officeDocument/2006/relationships/hyperlink" Target="http://icannregistrars.org/charter/" TargetMode="External"/><Relationship Id="rId67" Type="http://schemas.openxmlformats.org/officeDocument/2006/relationships/hyperlink" Target="https://www.icann.org/groups/ssac/charter" TargetMode="External"/><Relationship Id="rId68" Type="http://schemas.openxmlformats.org/officeDocument/2006/relationships/hyperlink" Target="https://www.icann.org/en/system/files/files/operational-procedures-20jun16-en.pdf"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fontTable" Target="fontTable.xml"/><Relationship Id="rId80" Type="http://schemas.openxmlformats.org/officeDocument/2006/relationships/hyperlink" Target="http://www.ncuc.org/governance/bylaws/" TargetMode="External"/><Relationship Id="rId81" Type="http://schemas.openxmlformats.org/officeDocument/2006/relationships/hyperlink" Target="http://icannregistrars.org/charter/" TargetMode="External"/><Relationship Id="rId82" Type="http://schemas.openxmlformats.org/officeDocument/2006/relationships/hyperlink" Target="https://www.ripe.net/participate/internet-governance/internet-" TargetMode="External"/><Relationship Id="rId83" Type="http://schemas.openxmlformats.org/officeDocument/2006/relationships/hyperlink" Target="http://www.bizconst.org/newsletter" TargetMode="External"/><Relationship Id="rId84" Type="http://schemas.openxmlformats.org/officeDocument/2006/relationships/hyperlink" Target="https://community.icann.org/x/zw2OAw" TargetMode="External"/><Relationship Id="rId85" Type="http://schemas.openxmlformats.org/officeDocument/2006/relationships/hyperlink" Target="https://community.icann.org/x/GgybAw" TargetMode="External"/><Relationship Id="rId86" Type="http://schemas.openxmlformats.org/officeDocument/2006/relationships/hyperlink" Target="https://community.icann.org/x/GgybAw7" TargetMode="External"/><Relationship Id="rId87" Type="http://schemas.openxmlformats.org/officeDocument/2006/relationships/hyperlink" Target="https://community.icann.org/x/4hK4Aw" TargetMode="External"/><Relationship Id="rId88" Type="http://schemas.openxmlformats.org/officeDocument/2006/relationships/hyperlink" Target="https://ipc.memberclicks.net/assets/FactSheets/ipc_onepager_2016.pdf" TargetMode="External"/><Relationship Id="rId89" Type="http://schemas.openxmlformats.org/officeDocument/2006/relationships/hyperlink" Target="https://community.icann.org/x/2w2O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6" Type="http://schemas.openxmlformats.org/officeDocument/2006/relationships/hyperlink" Target="https://community.icann.org/pages/viewpage.action?pageId=58723827&amp;preview=/58723827/58726376/Annex%2010%20-%20FINAL-Revised.pdf" TargetMode="External"/><Relationship Id="rId7" Type="http://schemas.openxmlformats.org/officeDocument/2006/relationships/hyperlink" Target="https://www.icann.org/resources/pages/governance/bylaws-en/" TargetMode="External"/><Relationship Id="rId8" Type="http://schemas.openxmlformats.org/officeDocument/2006/relationships/hyperlink" Target="https://www.icann.org/resources/pages/governance/bylaws-en/"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17</Pages>
  <Words>16490</Words>
  <Characters>93995</Characters>
  <Application>Microsoft Macintosh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110265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13</cp:revision>
  <cp:lastPrinted>2017-07-17T22:56:00Z</cp:lastPrinted>
  <dcterms:created xsi:type="dcterms:W3CDTF">2017-07-15T01:38:00Z</dcterms:created>
  <dcterms:modified xsi:type="dcterms:W3CDTF">2017-07-17T22:56:00Z</dcterms:modified>
  <cp:category/>
</cp:coreProperties>
</file>